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F5C1" w14:textId="77777777" w:rsidR="001E682F" w:rsidRDefault="001E682F" w:rsidP="001E682F">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1E682F">
        <w:rPr>
          <w:rFonts w:ascii="Arial" w:eastAsia="Arial" w:hAnsi="Arial" w:cs="Arial"/>
          <w:b/>
          <w:color w:val="000000" w:themeColor="text1"/>
          <w:kern w:val="2"/>
          <w:sz w:val="24"/>
          <w:szCs w:val="24"/>
          <w:lang w:val="fr"/>
        </w:rPr>
        <w:t>Elections communales et provinciales du 13 octobre 2024</w:t>
      </w:r>
    </w:p>
    <w:p w14:paraId="17145CC9" w14:textId="72AC5AFE" w:rsidR="001E682F" w:rsidRPr="001E682F" w:rsidRDefault="001E682F" w:rsidP="001E682F">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1E682F">
        <w:rPr>
          <w:rFonts w:ascii="Arial" w:eastAsia="Arial" w:hAnsi="Arial" w:cs="Arial"/>
          <w:b/>
          <w:color w:val="000000" w:themeColor="text1"/>
          <w:kern w:val="2"/>
          <w:sz w:val="24"/>
          <w:szCs w:val="24"/>
          <w:lang w:val="fr"/>
        </w:rPr>
        <w:t>Modèle de formulaire de désignation des assesseurs et assesseurs suppléants du bureau de dépouillement communal</w:t>
      </w:r>
    </w:p>
    <w:p w14:paraId="3953C71C" w14:textId="7F14D4BE" w:rsidR="001E682F" w:rsidRPr="008E3BC9" w:rsidRDefault="008E3BC9" w:rsidP="005F0C93">
      <w:pPr>
        <w:pBdr>
          <w:bottom w:val="single" w:sz="6" w:space="1" w:color="auto"/>
        </w:pBdr>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Commune de …</w:t>
      </w:r>
      <w:r w:rsidR="001E682F">
        <w:rPr>
          <w:rFonts w:ascii="Arial" w:hAnsi="Arial" w:cs="Arial"/>
          <w:color w:val="0D0D0D" w:themeColor="text1" w:themeTint="F2"/>
          <w:sz w:val="20"/>
          <w:szCs w:val="20"/>
        </w:rPr>
        <w:t>……………..</w:t>
      </w:r>
    </w:p>
    <w:p w14:paraId="4CE6A4C4" w14:textId="77777777" w:rsidR="008E3BC9" w:rsidRPr="008E3BC9" w:rsidRDefault="008E3BC9" w:rsidP="005F0C93">
      <w:pPr>
        <w:spacing w:before="100" w:beforeAutospacing="1" w:after="100" w:afterAutospacing="1" w:line="276" w:lineRule="auto"/>
        <w:rPr>
          <w:rFonts w:ascii="Arial" w:hAnsi="Arial" w:cs="Arial"/>
          <w:color w:val="0D0D0D" w:themeColor="text1" w:themeTint="F2"/>
          <w:sz w:val="20"/>
          <w:szCs w:val="20"/>
        </w:rPr>
      </w:pPr>
    </w:p>
    <w:p w14:paraId="34B3FA6A" w14:textId="757AB734" w:rsidR="00081B93" w:rsidRPr="008E3BC9" w:rsidRDefault="00081B93" w:rsidP="005F0C93">
      <w:pPr>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Madame, Monsieur, </w:t>
      </w:r>
    </w:p>
    <w:p w14:paraId="7F53BE00" w14:textId="3E7DA6F4" w:rsidR="00081B93" w:rsidRPr="008E3BC9" w:rsidRDefault="00081B93" w:rsidP="005F0C93">
      <w:pPr>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J’ai l’honneur de vous informer que je vous ai désigné(e), </w:t>
      </w:r>
      <w:r w:rsidR="00E67763" w:rsidRPr="008E3BC9">
        <w:rPr>
          <w:rFonts w:ascii="Arial" w:hAnsi="Arial" w:cs="Arial"/>
          <w:color w:val="0D0D0D" w:themeColor="text1" w:themeTint="F2"/>
          <w:sz w:val="20"/>
          <w:szCs w:val="20"/>
        </w:rPr>
        <w:t>conformément à l’article L4125-</w:t>
      </w:r>
      <w:r w:rsidR="008F2AD3" w:rsidRPr="008E3BC9">
        <w:rPr>
          <w:rFonts w:ascii="Arial" w:hAnsi="Arial" w:cs="Arial"/>
          <w:color w:val="0D0D0D" w:themeColor="text1" w:themeTint="F2"/>
          <w:sz w:val="20"/>
          <w:szCs w:val="20"/>
        </w:rPr>
        <w:t>5, § 2,</w:t>
      </w:r>
      <w:r w:rsidRPr="008E3BC9">
        <w:rPr>
          <w:rFonts w:ascii="Arial" w:hAnsi="Arial" w:cs="Arial"/>
          <w:color w:val="0D0D0D" w:themeColor="text1" w:themeTint="F2"/>
          <w:sz w:val="20"/>
          <w:szCs w:val="20"/>
        </w:rPr>
        <w:t xml:space="preserve"> du Code </w:t>
      </w:r>
      <w:r w:rsidR="008F2AD3" w:rsidRPr="008E3BC9">
        <w:rPr>
          <w:rFonts w:ascii="Arial" w:hAnsi="Arial" w:cs="Arial"/>
          <w:color w:val="0D0D0D" w:themeColor="text1" w:themeTint="F2"/>
          <w:sz w:val="20"/>
          <w:szCs w:val="20"/>
        </w:rPr>
        <w:t xml:space="preserve">wallon </w:t>
      </w:r>
      <w:r w:rsidR="00E94C5A" w:rsidRPr="008E3BC9">
        <w:rPr>
          <w:rFonts w:ascii="Arial" w:hAnsi="Arial" w:cs="Arial"/>
          <w:color w:val="0D0D0D" w:themeColor="text1" w:themeTint="F2"/>
          <w:sz w:val="20"/>
          <w:szCs w:val="20"/>
        </w:rPr>
        <w:t xml:space="preserve">de </w:t>
      </w:r>
      <w:r w:rsidRPr="008E3BC9">
        <w:rPr>
          <w:rFonts w:ascii="Arial" w:hAnsi="Arial" w:cs="Arial"/>
          <w:color w:val="0D0D0D" w:themeColor="text1" w:themeTint="F2"/>
          <w:sz w:val="20"/>
          <w:szCs w:val="20"/>
        </w:rPr>
        <w:t xml:space="preserve">la </w:t>
      </w:r>
      <w:r w:rsidR="008F2AD3" w:rsidRPr="008E3BC9">
        <w:rPr>
          <w:rFonts w:ascii="Arial" w:hAnsi="Arial" w:cs="Arial"/>
          <w:color w:val="0D0D0D" w:themeColor="text1" w:themeTint="F2"/>
          <w:sz w:val="20"/>
          <w:szCs w:val="20"/>
        </w:rPr>
        <w:t>d</w:t>
      </w:r>
      <w:r w:rsidRPr="008E3BC9">
        <w:rPr>
          <w:rFonts w:ascii="Arial" w:hAnsi="Arial" w:cs="Arial"/>
          <w:color w:val="0D0D0D" w:themeColor="text1" w:themeTint="F2"/>
          <w:sz w:val="20"/>
          <w:szCs w:val="20"/>
        </w:rPr>
        <w:t xml:space="preserve">émocratie locale et de la </w:t>
      </w:r>
      <w:r w:rsidR="008F2AD3" w:rsidRPr="008E3BC9">
        <w:rPr>
          <w:rFonts w:ascii="Arial" w:hAnsi="Arial" w:cs="Arial"/>
          <w:color w:val="0D0D0D" w:themeColor="text1" w:themeTint="F2"/>
          <w:sz w:val="20"/>
          <w:szCs w:val="20"/>
        </w:rPr>
        <w:t>d</w:t>
      </w:r>
      <w:r w:rsidRPr="008E3BC9">
        <w:rPr>
          <w:rFonts w:ascii="Arial" w:hAnsi="Arial" w:cs="Arial"/>
          <w:color w:val="0D0D0D" w:themeColor="text1" w:themeTint="F2"/>
          <w:sz w:val="20"/>
          <w:szCs w:val="20"/>
        </w:rPr>
        <w:t>écentralisation, pour re</w:t>
      </w:r>
      <w:r w:rsidR="00E94C5A" w:rsidRPr="008E3BC9">
        <w:rPr>
          <w:rFonts w:ascii="Arial" w:hAnsi="Arial" w:cs="Arial"/>
          <w:color w:val="0D0D0D" w:themeColor="text1" w:themeTint="F2"/>
          <w:sz w:val="20"/>
          <w:szCs w:val="20"/>
        </w:rPr>
        <w:t xml:space="preserve">mplir les fonctions d’assesseur </w:t>
      </w:r>
      <w:r w:rsidRPr="008E3BC9">
        <w:rPr>
          <w:rFonts w:ascii="Arial" w:hAnsi="Arial" w:cs="Arial"/>
          <w:color w:val="0D0D0D" w:themeColor="text1" w:themeTint="F2"/>
          <w:sz w:val="20"/>
          <w:szCs w:val="20"/>
        </w:rPr>
        <w:t>/</w:t>
      </w:r>
      <w:r w:rsidR="00E94C5A" w:rsidRPr="008E3BC9">
        <w:rPr>
          <w:rFonts w:ascii="Arial" w:hAnsi="Arial" w:cs="Arial"/>
          <w:color w:val="0D0D0D" w:themeColor="text1" w:themeTint="F2"/>
          <w:sz w:val="20"/>
          <w:szCs w:val="20"/>
        </w:rPr>
        <w:t xml:space="preserve"> </w:t>
      </w:r>
      <w:r w:rsidRPr="008E3BC9">
        <w:rPr>
          <w:rFonts w:ascii="Arial" w:hAnsi="Arial" w:cs="Arial"/>
          <w:color w:val="0D0D0D" w:themeColor="text1" w:themeTint="F2"/>
          <w:sz w:val="20"/>
          <w:szCs w:val="20"/>
        </w:rPr>
        <w:t xml:space="preserve">assesseur suppléant </w:t>
      </w:r>
      <w:r w:rsidR="00E94C5A" w:rsidRPr="008E3BC9">
        <w:rPr>
          <w:rFonts w:ascii="Arial" w:hAnsi="Arial" w:cs="Arial"/>
          <w:color w:val="0D0D0D" w:themeColor="text1" w:themeTint="F2"/>
          <w:sz w:val="20"/>
          <w:szCs w:val="20"/>
        </w:rPr>
        <w:t>(</w:t>
      </w:r>
      <w:r w:rsidR="00E94C5A" w:rsidRPr="008E3BC9">
        <w:rPr>
          <w:rFonts w:ascii="Arial" w:hAnsi="Arial" w:cs="Arial"/>
          <w:i/>
          <w:color w:val="0D0D0D" w:themeColor="text1" w:themeTint="F2"/>
          <w:sz w:val="20"/>
          <w:szCs w:val="20"/>
        </w:rPr>
        <w:t>biffez la mention inutile</w:t>
      </w:r>
      <w:r w:rsidR="00E94C5A" w:rsidRPr="008E3BC9">
        <w:rPr>
          <w:rFonts w:ascii="Arial" w:hAnsi="Arial" w:cs="Arial"/>
          <w:color w:val="0D0D0D" w:themeColor="text1" w:themeTint="F2"/>
          <w:sz w:val="20"/>
          <w:szCs w:val="20"/>
        </w:rPr>
        <w:t xml:space="preserve">) </w:t>
      </w:r>
      <w:r w:rsidRPr="008E3BC9">
        <w:rPr>
          <w:rFonts w:ascii="Arial" w:hAnsi="Arial" w:cs="Arial"/>
          <w:color w:val="0D0D0D" w:themeColor="text1" w:themeTint="F2"/>
          <w:sz w:val="20"/>
          <w:szCs w:val="20"/>
        </w:rPr>
        <w:t xml:space="preserve">du bureau de dépouillement </w:t>
      </w:r>
      <w:r w:rsidR="008F2AD3" w:rsidRPr="008E3BC9">
        <w:rPr>
          <w:rFonts w:ascii="Arial" w:hAnsi="Arial" w:cs="Arial"/>
          <w:color w:val="0D0D0D" w:themeColor="text1" w:themeTint="F2"/>
          <w:sz w:val="20"/>
          <w:szCs w:val="20"/>
        </w:rPr>
        <w:t xml:space="preserve">communal </w:t>
      </w:r>
      <w:r w:rsidRPr="008E3BC9">
        <w:rPr>
          <w:rFonts w:ascii="Arial" w:hAnsi="Arial" w:cs="Arial"/>
          <w:color w:val="0D0D0D" w:themeColor="text1" w:themeTint="F2"/>
          <w:sz w:val="20"/>
          <w:szCs w:val="20"/>
        </w:rPr>
        <w:t xml:space="preserve">pour les élections </w:t>
      </w:r>
      <w:r w:rsidR="00E94C5A" w:rsidRPr="008E3BC9">
        <w:rPr>
          <w:rFonts w:ascii="Arial" w:hAnsi="Arial" w:cs="Arial"/>
          <w:color w:val="0D0D0D" w:themeColor="text1" w:themeTint="F2"/>
          <w:sz w:val="20"/>
          <w:szCs w:val="20"/>
        </w:rPr>
        <w:t>communales</w:t>
      </w:r>
      <w:r w:rsidRPr="008E3BC9">
        <w:rPr>
          <w:rFonts w:ascii="Arial" w:hAnsi="Arial" w:cs="Arial"/>
          <w:color w:val="0D0D0D" w:themeColor="text1" w:themeTint="F2"/>
          <w:sz w:val="20"/>
          <w:szCs w:val="20"/>
        </w:rPr>
        <w:t xml:space="preserve"> qui auront lieu le</w:t>
      </w:r>
      <w:r w:rsidR="002E7A54" w:rsidRPr="008E3BC9">
        <w:rPr>
          <w:rFonts w:ascii="Arial" w:hAnsi="Arial" w:cs="Arial"/>
          <w:color w:val="0D0D0D" w:themeColor="text1" w:themeTint="F2"/>
          <w:sz w:val="20"/>
          <w:szCs w:val="20"/>
        </w:rPr>
        <w:t xml:space="preserve"> </w:t>
      </w:r>
      <w:r w:rsidR="00945AE5" w:rsidRPr="008E3BC9">
        <w:rPr>
          <w:rFonts w:ascii="Arial" w:hAnsi="Arial" w:cs="Arial"/>
          <w:color w:val="0D0D0D" w:themeColor="text1" w:themeTint="F2"/>
          <w:sz w:val="20"/>
          <w:szCs w:val="20"/>
        </w:rPr>
        <w:t>…..</w:t>
      </w:r>
      <w:r w:rsidR="008F2AD3" w:rsidRPr="008E3BC9">
        <w:rPr>
          <w:rFonts w:ascii="Arial" w:hAnsi="Arial" w:cs="Arial"/>
          <w:color w:val="0D0D0D" w:themeColor="text1" w:themeTint="F2"/>
          <w:sz w:val="20"/>
          <w:szCs w:val="20"/>
        </w:rPr>
        <w:t xml:space="preserve"> octobre 20</w:t>
      </w:r>
      <w:r w:rsidR="00945AE5" w:rsidRPr="008E3BC9">
        <w:rPr>
          <w:rFonts w:ascii="Arial" w:hAnsi="Arial" w:cs="Arial"/>
          <w:color w:val="0D0D0D" w:themeColor="text1" w:themeTint="F2"/>
          <w:sz w:val="20"/>
          <w:szCs w:val="20"/>
        </w:rPr>
        <w:t>…..</w:t>
      </w:r>
      <w:r w:rsidR="002E7A54" w:rsidRPr="008E3BC9">
        <w:rPr>
          <w:rFonts w:ascii="Arial" w:hAnsi="Arial" w:cs="Arial"/>
          <w:color w:val="0D0D0D" w:themeColor="text1" w:themeTint="F2"/>
          <w:sz w:val="20"/>
          <w:szCs w:val="20"/>
        </w:rPr>
        <w:t>.</w:t>
      </w:r>
    </w:p>
    <w:p w14:paraId="4AAD05E7" w14:textId="1AD6266B" w:rsidR="00081B93" w:rsidRPr="008E3BC9" w:rsidRDefault="00081B93" w:rsidP="005F0C93">
      <w:pPr>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Par conséquent, </w:t>
      </w:r>
      <w:r w:rsidR="00442D7C" w:rsidRPr="008E3BC9">
        <w:rPr>
          <w:rFonts w:ascii="Arial" w:hAnsi="Arial" w:cs="Arial"/>
          <w:color w:val="0D0D0D" w:themeColor="text1" w:themeTint="F2"/>
          <w:sz w:val="20"/>
          <w:szCs w:val="20"/>
        </w:rPr>
        <w:t>veuillez</w:t>
      </w:r>
      <w:r w:rsidRPr="008E3BC9">
        <w:rPr>
          <w:rFonts w:ascii="Arial" w:hAnsi="Arial" w:cs="Arial"/>
          <w:color w:val="0D0D0D" w:themeColor="text1" w:themeTint="F2"/>
          <w:sz w:val="20"/>
          <w:szCs w:val="20"/>
        </w:rPr>
        <w:t xml:space="preserve"> vous rendre ledit jour, à 14h00, au local où siègera votre bureau à </w:t>
      </w:r>
      <w:r w:rsidR="002E7A54" w:rsidRPr="008E3BC9">
        <w:rPr>
          <w:rFonts w:ascii="Arial" w:hAnsi="Arial" w:cs="Arial"/>
          <w:color w:val="0D0D0D" w:themeColor="text1" w:themeTint="F2"/>
          <w:sz w:val="20"/>
          <w:szCs w:val="20"/>
        </w:rPr>
        <w:t xml:space="preserve">l’adresse </w:t>
      </w:r>
      <w:r w:rsidRPr="008E3BC9">
        <w:rPr>
          <w:rFonts w:ascii="Arial" w:hAnsi="Arial" w:cs="Arial"/>
          <w:color w:val="0D0D0D" w:themeColor="text1" w:themeTint="F2"/>
          <w:sz w:val="20"/>
          <w:szCs w:val="20"/>
        </w:rPr>
        <w:t>suivante</w:t>
      </w:r>
      <w:r w:rsidR="002E7A54" w:rsidRPr="008E3BC9">
        <w:rPr>
          <w:rFonts w:ascii="Arial" w:hAnsi="Arial" w:cs="Arial"/>
          <w:color w:val="0D0D0D" w:themeColor="text1" w:themeTint="F2"/>
          <w:sz w:val="20"/>
          <w:szCs w:val="20"/>
        </w:rPr>
        <w:t> :</w:t>
      </w:r>
    </w:p>
    <w:p w14:paraId="6AC84B27" w14:textId="77777777" w:rsidR="002E7A54" w:rsidRPr="008E3BC9" w:rsidRDefault="002E7A54" w:rsidP="005F0C93">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ab/>
      </w:r>
    </w:p>
    <w:p w14:paraId="20F80803" w14:textId="77777777" w:rsidR="002E7A54" w:rsidRPr="008E3BC9" w:rsidRDefault="002E7A54" w:rsidP="005F0C93">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ab/>
      </w:r>
    </w:p>
    <w:p w14:paraId="665823D8" w14:textId="77777777" w:rsidR="002E7A54" w:rsidRPr="008E3BC9" w:rsidRDefault="002E7A54" w:rsidP="005F0C93">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ab/>
      </w:r>
    </w:p>
    <w:p w14:paraId="5E63FD9E" w14:textId="77777777" w:rsidR="00081B93" w:rsidRPr="008E3BC9" w:rsidRDefault="00081B93" w:rsidP="005F0C93">
      <w:pPr>
        <w:spacing w:before="100" w:beforeAutospacing="1" w:after="100" w:afterAutospacing="1" w:line="276" w:lineRule="auto"/>
        <w:jc w:val="both"/>
        <w:rPr>
          <w:rFonts w:ascii="Arial" w:hAnsi="Arial" w:cs="Arial"/>
          <w:color w:val="0D0D0D" w:themeColor="text1" w:themeTint="F2"/>
          <w:sz w:val="20"/>
          <w:szCs w:val="20"/>
        </w:rPr>
      </w:pPr>
    </w:p>
    <w:p w14:paraId="1772C605" w14:textId="33AA0531" w:rsidR="00081B93" w:rsidRPr="008E3BC9" w:rsidRDefault="00081B93" w:rsidP="005F0C93">
      <w:pPr>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Veuillez vous munir de votre numéro de compte pour le règlement de votre jeton de présence après les élections. </w:t>
      </w:r>
    </w:p>
    <w:p w14:paraId="292376E0" w14:textId="011794C6" w:rsidR="00081B93" w:rsidRPr="008E3BC9" w:rsidRDefault="00081B93" w:rsidP="005F0C93">
      <w:pPr>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Je vous prie de me renvoyer, dûment signé, le récépissé ci-joint ou de me faire connaître </w:t>
      </w:r>
      <w:r w:rsidR="008F2AD3" w:rsidRPr="008E3BC9">
        <w:rPr>
          <w:rFonts w:ascii="Arial" w:hAnsi="Arial" w:cs="Arial"/>
          <w:color w:val="0D0D0D" w:themeColor="text1" w:themeTint="F2"/>
          <w:sz w:val="20"/>
          <w:szCs w:val="20"/>
        </w:rPr>
        <w:t>vos motifs d’excuse dans les cinq jours de la réception de l’avis de votre désignation.</w:t>
      </w:r>
    </w:p>
    <w:p w14:paraId="509426AC" w14:textId="77777777" w:rsidR="00081B93" w:rsidRPr="008E3BC9" w:rsidRDefault="00081B93" w:rsidP="005F0C93">
      <w:pPr>
        <w:spacing w:before="100" w:beforeAutospacing="1" w:after="100" w:afterAutospacing="1" w:line="276" w:lineRule="auto"/>
        <w:jc w:val="both"/>
        <w:rPr>
          <w:rFonts w:ascii="Arial" w:hAnsi="Arial" w:cs="Arial"/>
          <w:color w:val="0D0D0D" w:themeColor="text1" w:themeTint="F2"/>
          <w:sz w:val="20"/>
          <w:szCs w:val="20"/>
        </w:rPr>
      </w:pPr>
    </w:p>
    <w:p w14:paraId="0D95607F" w14:textId="1C95EBA4" w:rsidR="001D5975" w:rsidRPr="008E3BC9" w:rsidRDefault="00945AE5" w:rsidP="005F0C93">
      <w:pPr>
        <w:shd w:val="clear" w:color="auto" w:fill="FFFFFF" w:themeFill="background1"/>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Fait à …………………………………………….., le…………….……………………..……. </w:t>
      </w:r>
    </w:p>
    <w:p w14:paraId="36A3A50E" w14:textId="198866C4" w:rsidR="00017012" w:rsidRPr="008E3BC9" w:rsidRDefault="00081B93" w:rsidP="005F0C93">
      <w:pPr>
        <w:spacing w:before="100" w:beforeAutospacing="1" w:after="100" w:afterAutospacing="1" w:line="276" w:lineRule="auto"/>
        <w:rPr>
          <w:rFonts w:ascii="Arial" w:hAnsi="Arial" w:cs="Arial"/>
          <w:bCs/>
          <w:color w:val="0D0D0D" w:themeColor="text1" w:themeTint="F2"/>
          <w:sz w:val="20"/>
          <w:szCs w:val="20"/>
        </w:rPr>
      </w:pPr>
      <w:r w:rsidRPr="008E3BC9">
        <w:rPr>
          <w:rFonts w:ascii="Arial" w:hAnsi="Arial" w:cs="Arial"/>
          <w:bCs/>
          <w:color w:val="0D0D0D" w:themeColor="text1" w:themeTint="F2"/>
          <w:sz w:val="20"/>
          <w:szCs w:val="20"/>
        </w:rPr>
        <w:t xml:space="preserve">Le Président </w:t>
      </w:r>
      <w:r w:rsidR="008F2AD3" w:rsidRPr="008E3BC9">
        <w:rPr>
          <w:rFonts w:ascii="Arial" w:hAnsi="Arial" w:cs="Arial"/>
          <w:bCs/>
          <w:color w:val="0D0D0D" w:themeColor="text1" w:themeTint="F2"/>
          <w:sz w:val="20"/>
          <w:szCs w:val="20"/>
        </w:rPr>
        <w:t xml:space="preserve">(La Présidente) </w:t>
      </w:r>
      <w:r w:rsidRPr="008E3BC9">
        <w:rPr>
          <w:rFonts w:ascii="Arial" w:hAnsi="Arial" w:cs="Arial"/>
          <w:bCs/>
          <w:color w:val="0D0D0D" w:themeColor="text1" w:themeTint="F2"/>
          <w:sz w:val="20"/>
          <w:szCs w:val="20"/>
        </w:rPr>
        <w:t xml:space="preserve">du bureau </w:t>
      </w:r>
      <w:r w:rsidR="00E67763" w:rsidRPr="008E3BC9">
        <w:rPr>
          <w:rFonts w:ascii="Arial" w:hAnsi="Arial" w:cs="Arial"/>
          <w:bCs/>
          <w:color w:val="0D0D0D" w:themeColor="text1" w:themeTint="F2"/>
          <w:sz w:val="20"/>
          <w:szCs w:val="20"/>
        </w:rPr>
        <w:t>communal</w:t>
      </w:r>
      <w:r w:rsidRPr="008E3BC9">
        <w:rPr>
          <w:rFonts w:ascii="Arial" w:hAnsi="Arial" w:cs="Arial"/>
          <w:bCs/>
          <w:color w:val="0D0D0D" w:themeColor="text1" w:themeTint="F2"/>
          <w:sz w:val="20"/>
          <w:szCs w:val="20"/>
        </w:rPr>
        <w:t>,</w:t>
      </w:r>
    </w:p>
    <w:p w14:paraId="3EFFD76A" w14:textId="32DAED76" w:rsidR="00945AE5" w:rsidRPr="008E3BC9" w:rsidRDefault="00081B93" w:rsidP="005F0C93">
      <w:pPr>
        <w:spacing w:before="100" w:beforeAutospacing="1" w:after="100" w:afterAutospacing="1" w:line="276" w:lineRule="auto"/>
        <w:rPr>
          <w:rFonts w:ascii="Arial" w:hAnsi="Arial" w:cs="Arial"/>
          <w:bCs/>
          <w:color w:val="0D0D0D" w:themeColor="text1" w:themeTint="F2"/>
          <w:sz w:val="20"/>
          <w:szCs w:val="20"/>
        </w:rPr>
      </w:pPr>
      <w:r w:rsidRPr="008E3BC9">
        <w:rPr>
          <w:rFonts w:ascii="Arial" w:hAnsi="Arial" w:cs="Arial"/>
          <w:bCs/>
          <w:color w:val="0D0D0D" w:themeColor="text1" w:themeTint="F2"/>
          <w:sz w:val="20"/>
          <w:szCs w:val="20"/>
        </w:rPr>
        <w:t>(</w:t>
      </w:r>
      <w:r w:rsidRPr="008E3BC9">
        <w:rPr>
          <w:rFonts w:ascii="Arial" w:hAnsi="Arial" w:cs="Arial"/>
          <w:bCs/>
          <w:i/>
          <w:iCs/>
          <w:color w:val="0D0D0D" w:themeColor="text1" w:themeTint="F2"/>
          <w:sz w:val="20"/>
          <w:szCs w:val="20"/>
        </w:rPr>
        <w:t>S</w:t>
      </w:r>
      <w:r w:rsidR="00017012" w:rsidRPr="008E3BC9">
        <w:rPr>
          <w:rFonts w:ascii="Arial" w:hAnsi="Arial" w:cs="Arial"/>
          <w:bCs/>
          <w:i/>
          <w:iCs/>
          <w:color w:val="0D0D0D" w:themeColor="text1" w:themeTint="F2"/>
          <w:sz w:val="20"/>
          <w:szCs w:val="20"/>
        </w:rPr>
        <w:t>ignature</w:t>
      </w:r>
      <w:r w:rsidR="00017012" w:rsidRPr="008E3BC9">
        <w:rPr>
          <w:rFonts w:ascii="Arial" w:hAnsi="Arial" w:cs="Arial"/>
          <w:bCs/>
          <w:color w:val="0D0D0D" w:themeColor="text1" w:themeTint="F2"/>
          <w:sz w:val="20"/>
          <w:szCs w:val="20"/>
        </w:rPr>
        <w:t>)</w:t>
      </w:r>
    </w:p>
    <w:p w14:paraId="5CAC7A47" w14:textId="5B52DC35" w:rsidR="00081B93" w:rsidRPr="008E3BC9" w:rsidRDefault="00945AE5" w:rsidP="005F0C93">
      <w:pPr>
        <w:spacing w:before="100" w:beforeAutospacing="1" w:after="100" w:afterAutospacing="1" w:line="276" w:lineRule="auto"/>
        <w:rPr>
          <w:rFonts w:ascii="Arial" w:hAnsi="Arial" w:cs="Arial"/>
          <w:bCs/>
          <w:color w:val="0D0D0D" w:themeColor="text1" w:themeTint="F2"/>
          <w:sz w:val="20"/>
          <w:szCs w:val="20"/>
        </w:rPr>
      </w:pPr>
      <w:r w:rsidRPr="008E3BC9">
        <w:rPr>
          <w:rFonts w:ascii="Arial" w:hAnsi="Arial" w:cs="Arial"/>
          <w:bCs/>
          <w:color w:val="0D0D0D" w:themeColor="text1" w:themeTint="F2"/>
          <w:sz w:val="20"/>
          <w:szCs w:val="20"/>
        </w:rPr>
        <w:br w:type="page"/>
      </w:r>
    </w:p>
    <w:p w14:paraId="42DF0A4A" w14:textId="5292570B" w:rsidR="00945AE5" w:rsidRPr="008E3BC9" w:rsidRDefault="000E33A3" w:rsidP="005F0C93">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r>
        <w:rPr>
          <w:rFonts w:ascii="Arial" w:eastAsia="Times New Roman" w:hAnsi="Arial" w:cs="Arial"/>
          <w:color w:val="0D0D0D" w:themeColor="text1" w:themeTint="F2"/>
          <w:sz w:val="20"/>
          <w:szCs w:val="20"/>
          <w:lang w:eastAsia="fr-BE"/>
        </w:rPr>
        <w:lastRenderedPageBreak/>
        <w:t>R</w:t>
      </w:r>
      <w:r w:rsidRPr="008E3BC9">
        <w:rPr>
          <w:rFonts w:ascii="Arial" w:eastAsia="Times New Roman" w:hAnsi="Arial" w:cs="Arial"/>
          <w:color w:val="0D0D0D" w:themeColor="text1" w:themeTint="F2"/>
          <w:sz w:val="20"/>
          <w:szCs w:val="20"/>
          <w:lang w:eastAsia="fr-BE"/>
        </w:rPr>
        <w:t>écépissé</w:t>
      </w:r>
      <w:r w:rsidR="00945AE5" w:rsidRPr="008E3BC9">
        <w:rPr>
          <w:rStyle w:val="Appelnotedebasdep"/>
          <w:rFonts w:ascii="Arial" w:eastAsia="Times New Roman" w:hAnsi="Arial" w:cs="Arial"/>
          <w:color w:val="0D0D0D" w:themeColor="text1" w:themeTint="F2"/>
          <w:sz w:val="20"/>
          <w:szCs w:val="20"/>
          <w:lang w:eastAsia="fr-BE"/>
        </w:rPr>
        <w:footnoteReference w:id="1"/>
      </w:r>
    </w:p>
    <w:p w14:paraId="033425E0" w14:textId="77777777" w:rsidR="008E3BC9" w:rsidRDefault="00945AE5" w:rsidP="005F0C93">
      <w:pPr>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À renvoyer à </w:t>
      </w:r>
    </w:p>
    <w:p w14:paraId="48268E51" w14:textId="674A42D0" w:rsidR="00945AE5" w:rsidRPr="008E3BC9" w:rsidRDefault="00945AE5" w:rsidP="005F0C93">
      <w:pPr>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Madame, Monsieur,……………………………………………………………………………….,</w:t>
      </w:r>
      <w:r w:rsidRPr="008E3BC9">
        <w:rPr>
          <w:rFonts w:ascii="Arial" w:hAnsi="Arial" w:cs="Arial"/>
          <w:color w:val="0D0D0D" w:themeColor="text1" w:themeTint="F2"/>
          <w:sz w:val="20"/>
          <w:szCs w:val="20"/>
        </w:rPr>
        <w:br/>
        <w:t>président(e) du bureau communal de…………………</w:t>
      </w:r>
      <w:r w:rsidR="008E3BC9">
        <w:rPr>
          <w:rFonts w:ascii="Arial" w:hAnsi="Arial" w:cs="Arial"/>
          <w:color w:val="0D0D0D" w:themeColor="text1" w:themeTint="F2"/>
          <w:sz w:val="20"/>
          <w:szCs w:val="20"/>
        </w:rPr>
        <w:t>…………</w:t>
      </w:r>
      <w:r w:rsidRPr="008E3BC9">
        <w:rPr>
          <w:rFonts w:ascii="Arial" w:hAnsi="Arial" w:cs="Arial"/>
          <w:color w:val="0D0D0D" w:themeColor="text1" w:themeTint="F2"/>
          <w:sz w:val="20"/>
          <w:szCs w:val="20"/>
        </w:rPr>
        <w:t>………………………………</w:t>
      </w:r>
    </w:p>
    <w:p w14:paraId="1C7895AE" w14:textId="77777777" w:rsidR="00945AE5" w:rsidRPr="008E3BC9" w:rsidRDefault="00945AE5" w:rsidP="005F0C93">
      <w:pPr>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Adresse : ……………………………………………………………………………………………………..........</w:t>
      </w:r>
      <w:r w:rsidRPr="008E3BC9">
        <w:rPr>
          <w:rFonts w:ascii="Arial" w:hAnsi="Arial" w:cs="Arial"/>
          <w:color w:val="0D0D0D" w:themeColor="text1" w:themeTint="F2"/>
          <w:sz w:val="20"/>
          <w:szCs w:val="20"/>
        </w:rPr>
        <w:br/>
        <w:t>……………………………………………………………………………………………………………………….</w:t>
      </w:r>
    </w:p>
    <w:p w14:paraId="0DD6BDA3" w14:textId="77777777" w:rsidR="00945AE5" w:rsidRPr="008E3BC9" w:rsidRDefault="00945AE5" w:rsidP="005F0C93">
      <w:pPr>
        <w:spacing w:before="100" w:beforeAutospacing="1" w:after="100" w:afterAutospacing="1" w:line="276" w:lineRule="auto"/>
        <w:jc w:val="both"/>
        <w:rPr>
          <w:rFonts w:ascii="Arial" w:hAnsi="Arial" w:cs="Arial"/>
          <w:color w:val="0D0D0D" w:themeColor="text1" w:themeTint="F2"/>
          <w:sz w:val="20"/>
          <w:szCs w:val="20"/>
        </w:rPr>
      </w:pPr>
      <w:r w:rsidRPr="008E3BC9">
        <w:rPr>
          <w:rFonts w:ascii="Arial" w:hAnsi="Arial" w:cs="Arial"/>
          <w:color w:val="0D0D0D" w:themeColor="text1" w:themeTint="F2"/>
          <w:sz w:val="20"/>
          <w:szCs w:val="20"/>
        </w:rPr>
        <w:t>Je soussigné(e),…………………………………………………………….désigné(e) pour remplir les fonctions d’assesseur / assesseur suppléant (biffez la mention inutile) du bureau de dépouillement communal n°…………, siégeant à ……………………………………………., déclare avoir reçu la lettre de M. le Président du bureau communal (ou Mme la Présidente du bureau communal), en date du……………………………………, m’informant de ma désignation.</w:t>
      </w:r>
    </w:p>
    <w:p w14:paraId="0235DF93" w14:textId="77777777" w:rsidR="00945AE5" w:rsidRPr="008E3BC9" w:rsidRDefault="00945AE5" w:rsidP="005F0C93">
      <w:pPr>
        <w:spacing w:before="100" w:beforeAutospacing="1" w:after="100" w:afterAutospacing="1" w:line="276" w:lineRule="auto"/>
        <w:jc w:val="both"/>
        <w:rPr>
          <w:rFonts w:ascii="Arial" w:hAnsi="Arial" w:cs="Arial"/>
          <w:color w:val="0D0D0D" w:themeColor="text1" w:themeTint="F2"/>
          <w:sz w:val="20"/>
          <w:szCs w:val="20"/>
        </w:rPr>
      </w:pPr>
    </w:p>
    <w:p w14:paraId="67CEB735" w14:textId="77777777" w:rsidR="00945AE5" w:rsidRPr="008E3BC9" w:rsidRDefault="00945AE5" w:rsidP="005F0C93">
      <w:pPr>
        <w:spacing w:before="100" w:beforeAutospacing="1" w:after="100" w:afterAutospacing="1" w:line="276" w:lineRule="auto"/>
        <w:jc w:val="both"/>
        <w:rPr>
          <w:rFonts w:ascii="Arial" w:hAnsi="Arial" w:cs="Arial"/>
          <w:color w:val="0D0D0D" w:themeColor="text1" w:themeTint="F2"/>
          <w:sz w:val="20"/>
          <w:szCs w:val="20"/>
        </w:rPr>
      </w:pPr>
    </w:p>
    <w:p w14:paraId="00575DED" w14:textId="26F20300" w:rsidR="00945AE5" w:rsidRPr="008E3BC9" w:rsidRDefault="00945AE5" w:rsidP="005F0C93">
      <w:pPr>
        <w:spacing w:before="100" w:beforeAutospacing="1" w:after="100" w:afterAutospacing="1" w:line="276" w:lineRule="auto"/>
        <w:rPr>
          <w:rFonts w:ascii="Arial" w:hAnsi="Arial" w:cs="Arial"/>
          <w:color w:val="0D0D0D" w:themeColor="text1" w:themeTint="F2"/>
          <w:sz w:val="20"/>
          <w:szCs w:val="20"/>
        </w:rPr>
      </w:pPr>
      <w:r w:rsidRPr="008E3BC9">
        <w:rPr>
          <w:rFonts w:ascii="Arial" w:hAnsi="Arial" w:cs="Arial"/>
          <w:color w:val="0D0D0D" w:themeColor="text1" w:themeTint="F2"/>
          <w:sz w:val="20"/>
          <w:szCs w:val="20"/>
        </w:rPr>
        <w:t xml:space="preserve">Fait à …………………………………………….., le…………….……………………..……. </w:t>
      </w:r>
    </w:p>
    <w:p w14:paraId="32BB0645" w14:textId="77777777" w:rsidR="00945AE5" w:rsidRPr="008E3BC9" w:rsidRDefault="00945AE5" w:rsidP="005F0C93">
      <w:pPr>
        <w:spacing w:before="100" w:beforeAutospacing="1" w:after="100" w:afterAutospacing="1" w:line="276" w:lineRule="auto"/>
        <w:rPr>
          <w:rFonts w:ascii="Arial" w:hAnsi="Arial" w:cs="Arial"/>
          <w:color w:val="0D0D0D" w:themeColor="text1" w:themeTint="F2"/>
          <w:sz w:val="20"/>
          <w:szCs w:val="20"/>
        </w:rPr>
      </w:pPr>
    </w:p>
    <w:p w14:paraId="4BEC4F3F" w14:textId="77777777" w:rsidR="00945AE5" w:rsidRPr="008E3BC9" w:rsidRDefault="00945AE5" w:rsidP="005F0C93">
      <w:pPr>
        <w:spacing w:before="100" w:beforeAutospacing="1" w:after="100" w:afterAutospacing="1" w:line="276" w:lineRule="auto"/>
        <w:rPr>
          <w:rFonts w:ascii="Arial" w:hAnsi="Arial" w:cs="Arial"/>
          <w:color w:val="0D0D0D" w:themeColor="text1" w:themeTint="F2"/>
          <w:sz w:val="20"/>
          <w:szCs w:val="20"/>
        </w:rPr>
      </w:pPr>
    </w:p>
    <w:p w14:paraId="43A9055E" w14:textId="77777777" w:rsidR="00945AE5" w:rsidRPr="008E3BC9" w:rsidRDefault="00945AE5" w:rsidP="005F0C93">
      <w:pPr>
        <w:shd w:val="clear" w:color="auto" w:fill="FFFFFF" w:themeFill="background1"/>
        <w:spacing w:before="100" w:beforeAutospacing="1" w:after="100" w:afterAutospacing="1" w:line="276" w:lineRule="auto"/>
        <w:rPr>
          <w:rFonts w:ascii="Arial" w:hAnsi="Arial" w:cs="Arial"/>
          <w:color w:val="0D0D0D" w:themeColor="text1" w:themeTint="F2"/>
          <w:sz w:val="20"/>
          <w:szCs w:val="20"/>
        </w:rPr>
      </w:pPr>
    </w:p>
    <w:p w14:paraId="463FCD0D" w14:textId="77777777" w:rsidR="00945AE5" w:rsidRPr="008E3BC9" w:rsidRDefault="00945AE5" w:rsidP="005F0C93">
      <w:pPr>
        <w:spacing w:before="100" w:beforeAutospacing="1" w:after="100" w:afterAutospacing="1" w:line="276" w:lineRule="auto"/>
        <w:rPr>
          <w:rFonts w:ascii="Arial" w:hAnsi="Arial" w:cs="Arial"/>
          <w:color w:val="0D0D0D" w:themeColor="text1" w:themeTint="F2"/>
          <w:sz w:val="20"/>
          <w:szCs w:val="20"/>
        </w:rPr>
      </w:pPr>
    </w:p>
    <w:p w14:paraId="18AA46C3" w14:textId="5171FA7F" w:rsidR="00945AE5" w:rsidRPr="008E3BC9" w:rsidRDefault="008E3BC9" w:rsidP="005F0C93">
      <w:pPr>
        <w:spacing w:before="100" w:beforeAutospacing="1" w:after="100" w:afterAutospacing="1" w:line="276" w:lineRule="auto"/>
        <w:rPr>
          <w:rFonts w:ascii="Arial" w:hAnsi="Arial" w:cs="Arial"/>
          <w:iCs/>
          <w:color w:val="0D0D0D" w:themeColor="text1" w:themeTint="F2"/>
          <w:sz w:val="20"/>
          <w:szCs w:val="20"/>
        </w:rPr>
      </w:pPr>
      <w:r>
        <w:rPr>
          <w:rFonts w:ascii="Arial" w:hAnsi="Arial" w:cs="Arial"/>
          <w:iCs/>
          <w:color w:val="0D0D0D" w:themeColor="text1" w:themeTint="F2"/>
          <w:sz w:val="20"/>
          <w:szCs w:val="20"/>
        </w:rPr>
        <w:t>(</w:t>
      </w:r>
      <w:r w:rsidR="00945AE5" w:rsidRPr="008E3BC9">
        <w:rPr>
          <w:rFonts w:ascii="Arial" w:hAnsi="Arial" w:cs="Arial"/>
          <w:i/>
          <w:color w:val="0D0D0D" w:themeColor="text1" w:themeTint="F2"/>
          <w:sz w:val="20"/>
          <w:szCs w:val="20"/>
        </w:rPr>
        <w:t>Signature</w:t>
      </w:r>
      <w:r>
        <w:rPr>
          <w:rFonts w:ascii="Arial" w:hAnsi="Arial" w:cs="Arial"/>
          <w:iCs/>
          <w:color w:val="0D0D0D" w:themeColor="text1" w:themeTint="F2"/>
          <w:sz w:val="20"/>
          <w:szCs w:val="20"/>
        </w:rPr>
        <w:t>)</w:t>
      </w:r>
    </w:p>
    <w:p w14:paraId="576974EA" w14:textId="77777777" w:rsidR="00945AE5" w:rsidRPr="008E3BC9" w:rsidRDefault="00945AE5" w:rsidP="005F0C93">
      <w:pPr>
        <w:spacing w:before="100" w:beforeAutospacing="1" w:after="100" w:afterAutospacing="1" w:line="276" w:lineRule="auto"/>
        <w:rPr>
          <w:rFonts w:ascii="Arial" w:hAnsi="Arial" w:cs="Arial"/>
          <w:iCs/>
          <w:color w:val="0D0D0D" w:themeColor="text1" w:themeTint="F2"/>
          <w:sz w:val="20"/>
          <w:szCs w:val="20"/>
        </w:rPr>
      </w:pPr>
      <w:r w:rsidRPr="008E3BC9">
        <w:rPr>
          <w:rFonts w:ascii="Arial" w:hAnsi="Arial" w:cs="Arial"/>
          <w:iCs/>
          <w:color w:val="0D0D0D" w:themeColor="text1" w:themeTint="F2"/>
          <w:sz w:val="20"/>
          <w:szCs w:val="20"/>
        </w:rPr>
        <w:br w:type="page"/>
      </w:r>
    </w:p>
    <w:p w14:paraId="728C052D" w14:textId="6E99156C" w:rsidR="00081B93" w:rsidRPr="008E3BC9" w:rsidRDefault="00824792" w:rsidP="00C05994">
      <w:pPr>
        <w:pBdr>
          <w:bottom w:val="single" w:sz="4" w:space="1" w:color="1E2445"/>
        </w:pBdr>
        <w:spacing w:before="100" w:beforeAutospacing="1" w:after="100" w:afterAutospacing="1" w:line="276" w:lineRule="auto"/>
        <w:rPr>
          <w:rFonts w:ascii="Arial" w:hAnsi="Arial" w:cs="Arial"/>
          <w:color w:val="0D0D0D" w:themeColor="text1" w:themeTint="F2"/>
          <w:sz w:val="20"/>
          <w:szCs w:val="20"/>
        </w:rPr>
      </w:pPr>
      <w:r>
        <w:rPr>
          <w:rFonts w:ascii="Arial" w:eastAsia="Times New Roman" w:hAnsi="Arial" w:cs="Arial"/>
          <w:color w:val="0D0D0D" w:themeColor="text1" w:themeTint="F2"/>
          <w:sz w:val="20"/>
          <w:szCs w:val="20"/>
          <w:lang w:val="fr-BE" w:eastAsia="fr-BE"/>
        </w:rPr>
        <w:lastRenderedPageBreak/>
        <w:t>E</w:t>
      </w:r>
      <w:r w:rsidRPr="00824792">
        <w:rPr>
          <w:rFonts w:ascii="Arial" w:eastAsia="Times New Roman" w:hAnsi="Arial" w:cs="Arial"/>
          <w:color w:val="0D0D0D" w:themeColor="text1" w:themeTint="F2"/>
          <w:sz w:val="20"/>
          <w:szCs w:val="20"/>
          <w:lang w:val="fr-BE" w:eastAsia="fr-BE"/>
        </w:rPr>
        <w:t xml:space="preserve">xtrait du </w:t>
      </w:r>
      <w:r w:rsidR="0062595C">
        <w:rPr>
          <w:rFonts w:ascii="Arial" w:eastAsia="Times New Roman" w:hAnsi="Arial" w:cs="Arial"/>
          <w:color w:val="0D0D0D" w:themeColor="text1" w:themeTint="F2"/>
          <w:sz w:val="20"/>
          <w:szCs w:val="20"/>
          <w:lang w:val="fr-BE" w:eastAsia="fr-BE"/>
        </w:rPr>
        <w:t>C</w:t>
      </w:r>
      <w:r w:rsidRPr="00824792">
        <w:rPr>
          <w:rFonts w:ascii="Arial" w:eastAsia="Times New Roman" w:hAnsi="Arial" w:cs="Arial"/>
          <w:color w:val="0D0D0D" w:themeColor="text1" w:themeTint="F2"/>
          <w:sz w:val="20"/>
          <w:szCs w:val="20"/>
          <w:lang w:val="fr-BE" w:eastAsia="fr-BE"/>
        </w:rPr>
        <w:t>ode wallon de la démocratie locale et de la décentralisation</w:t>
      </w:r>
    </w:p>
    <w:p w14:paraId="746C5DC1" w14:textId="21078D32"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bookmarkStart w:id="0" w:name="_Hlk131942937"/>
      <w:r w:rsidRPr="008E3BC9">
        <w:rPr>
          <w:rFonts w:ascii="Arial" w:eastAsia="Times New Roman" w:hAnsi="Arial" w:cs="Arial"/>
          <w:color w:val="0D0D0D" w:themeColor="text1" w:themeTint="F2"/>
          <w:sz w:val="20"/>
          <w:szCs w:val="20"/>
          <w:lang w:val="fr-BE" w:eastAsia="fr-BE"/>
        </w:rPr>
        <w:t>Art. L4125-5. §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xml:space="preserve">. </w:t>
      </w:r>
      <w:bookmarkStart w:id="1" w:name="_Hlk73970551"/>
      <w:r w:rsidRPr="008E3BC9">
        <w:rPr>
          <w:rFonts w:ascii="Arial" w:eastAsia="Times New Roman" w:hAnsi="Arial" w:cs="Arial"/>
          <w:color w:val="0D0D0D" w:themeColor="text1" w:themeTint="F2"/>
          <w:sz w:val="20"/>
          <w:szCs w:val="20"/>
          <w:lang w:val="fr-BE" w:eastAsia="fr-BE"/>
        </w:rPr>
        <w:t>Le 15 septembre au plus tard, le président du bureau communal désigne les présidents des bureaux de vote et des bureaux de dépouillement communal parmi les électeurs les moins âgés de la commune, ayant le jour de l’élection au moins dix-huit ans, dans l’ordre déterminé ci-après :</w:t>
      </w:r>
    </w:p>
    <w:p w14:paraId="7C559F49"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1° tout électeur qui possède un diplôme donnant accès à un emploi de niveau A dans la fonction publique régionale wallonne ;</w:t>
      </w:r>
    </w:p>
    <w:p w14:paraId="7BCC9C31"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2° tout électeur qui possède un diplôme donnant accès à un emploi de niveau B dans la fonction publique régionale wallonne.</w:t>
      </w:r>
    </w:p>
    <w:p w14:paraId="7390FA8F"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w:t>
      </w:r>
      <w:r w:rsidRPr="008E3BC9">
        <w:rPr>
          <w:rFonts w:ascii="Arial" w:eastAsia="Times New Roman" w:hAnsi="Arial" w:cs="Arial"/>
          <w:color w:val="0D0D0D" w:themeColor="text1" w:themeTint="F2"/>
          <w:sz w:val="20"/>
          <w:szCs w:val="20"/>
          <w:lang w:eastAsia="fr-BE"/>
        </w:rPr>
        <w:t>Le président du bureau communal communique immédiatement au Gouvernement l’identité et les coordonnées de contact des personnes désignées. </w:t>
      </w:r>
    </w:p>
    <w:bookmarkEnd w:id="1"/>
    <w:p w14:paraId="1BE93C68"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w:t>
      </w:r>
      <w:bookmarkStart w:id="2" w:name="_Hlk94976775"/>
      <w:r w:rsidRPr="008E3BC9">
        <w:rPr>
          <w:rFonts w:ascii="Arial" w:eastAsia="Times New Roman" w:hAnsi="Arial" w:cs="Arial"/>
          <w:color w:val="0D0D0D" w:themeColor="text1" w:themeTint="F2"/>
          <w:sz w:val="20"/>
          <w:szCs w:val="20"/>
          <w:lang w:val="fr-BE" w:eastAsia="fr-BE"/>
        </w:rPr>
        <w:t xml:space="preserve">§ 2. </w:t>
      </w:r>
      <w:bookmarkStart w:id="3" w:name="_Hlk73970531"/>
      <w:r w:rsidRPr="008E3BC9">
        <w:rPr>
          <w:rFonts w:ascii="Arial" w:eastAsia="Times New Roman" w:hAnsi="Arial" w:cs="Arial"/>
          <w:color w:val="0D0D0D" w:themeColor="text1" w:themeTint="F2"/>
          <w:sz w:val="20"/>
          <w:szCs w:val="20"/>
          <w:lang w:val="fr-BE" w:eastAsia="fr-BE"/>
        </w:rPr>
        <w:t>Pour la même date, le président du bureau communal désigne les assesseurs et assesseurs suppléants des bureaux de vote et bureaux de dépouillement communal parmi les électeurs les moins âgés de la commune, ayant le jour de l’élection au moins dix-huit ans, dans l’ordre déterminé ci-après :</w:t>
      </w:r>
    </w:p>
    <w:p w14:paraId="5DBF3061"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1° tout électeur qui possède un diplôme donnant accès à un emploi de niveau A dans la fonction publique régionale wallonne ;</w:t>
      </w:r>
    </w:p>
    <w:p w14:paraId="0AAFE7D6"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2° tout électeur qui possède un diplôme donnant accès à un emploi de niveau B dans la fonction publique régionale wallonne ;</w:t>
      </w:r>
    </w:p>
    <w:p w14:paraId="195DB41E"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3° tout électeur qui possède un diplôme donnant accès à un emploi de niveau C dans la fonction publique régionale wallonne ;</w:t>
      </w:r>
    </w:p>
    <w:p w14:paraId="3AD39F4B"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4° tout électeur qui possède un diplôme donnant accès à un emploi de niveau D dans la fonction publique régionale wallonne.</w:t>
      </w:r>
    </w:p>
    <w:p w14:paraId="6392C328"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Pour les désignations visées à l’alinéa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le président du bureau communal peut, le cas échéant, faire appel aux volontaires qui figurent sur la liste visée à l’article L4122-6, §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alinéa 2.</w:t>
      </w:r>
    </w:p>
    <w:p w14:paraId="1055B73E"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w:t>
      </w:r>
      <w:r w:rsidRPr="008E3BC9">
        <w:rPr>
          <w:rFonts w:ascii="Arial" w:eastAsia="Times New Roman" w:hAnsi="Arial" w:cs="Arial"/>
          <w:color w:val="0D0D0D" w:themeColor="text1" w:themeTint="F2"/>
          <w:sz w:val="20"/>
          <w:szCs w:val="20"/>
          <w:lang w:eastAsia="fr-BE"/>
        </w:rPr>
        <w:t>Le président du bureau communal communique immédiatement au Gouvernement l’identité et les coordonnées de contact des personnes désignées. </w:t>
      </w:r>
      <w:bookmarkStart w:id="4" w:name="_Hlk94976864"/>
      <w:bookmarkEnd w:id="2"/>
      <w:bookmarkEnd w:id="3"/>
    </w:p>
    <w:bookmarkEnd w:id="4"/>
    <w:p w14:paraId="4363739B"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w:t>
      </w:r>
      <w:bookmarkStart w:id="5" w:name="_Hlk94976950"/>
      <w:r w:rsidRPr="008E3BC9">
        <w:rPr>
          <w:rFonts w:ascii="Arial" w:eastAsia="Times New Roman" w:hAnsi="Arial" w:cs="Arial"/>
          <w:color w:val="0D0D0D" w:themeColor="text1" w:themeTint="F2"/>
          <w:sz w:val="20"/>
          <w:szCs w:val="20"/>
          <w:lang w:val="fr-BE" w:eastAsia="fr-BE"/>
        </w:rPr>
        <w:t xml:space="preserve">§ 3. </w:t>
      </w:r>
      <w:bookmarkStart w:id="6" w:name="_Hlk73970434"/>
      <w:r w:rsidRPr="008E3BC9">
        <w:rPr>
          <w:rFonts w:ascii="Arial" w:eastAsia="Times New Roman" w:hAnsi="Arial" w:cs="Arial"/>
          <w:color w:val="0D0D0D" w:themeColor="text1" w:themeTint="F2"/>
          <w:sz w:val="20"/>
          <w:szCs w:val="20"/>
          <w:lang w:val="fr-BE" w:eastAsia="fr-BE"/>
        </w:rPr>
        <w:t>Les présidents des bureaux de vote et de dépouillement sont désignés parmi les électeurs figurant sur le relevé prévu à l'article L4122-6, §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alinéa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1°.</w:t>
      </w:r>
    </w:p>
    <w:p w14:paraId="5956CFFB"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Les assesseurs et assesseurs suppléants des bureaux de vote et de dépouillement sont désignés parmi les électeurs figurant sur le relevé prévu à l’article L4122-6, §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alinéa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2°</w:t>
      </w:r>
      <w:bookmarkEnd w:id="6"/>
      <w:r w:rsidRPr="008E3BC9">
        <w:rPr>
          <w:rFonts w:ascii="Arial" w:eastAsia="Times New Roman" w:hAnsi="Arial" w:cs="Arial"/>
          <w:color w:val="0D0D0D" w:themeColor="text1" w:themeTint="F2"/>
          <w:sz w:val="20"/>
          <w:szCs w:val="20"/>
          <w:lang w:val="fr-BE" w:eastAsia="fr-BE"/>
        </w:rPr>
        <w:t>, ou, le cas échéant, parmi les électeurs figurant sur la liste visée à l’article L4122-6, §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alinéa 2.</w:t>
      </w:r>
    </w:p>
    <w:bookmarkEnd w:id="5"/>
    <w:p w14:paraId="7275C5BE" w14:textId="01D7AFFF"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 4. Une fois ces désignations opérées, le président du bureau communal transmet, sans délai, les relevés précités au président du bureau de canton après radiation du nom des électeurs désignés conformément aux paragraphes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xml:space="preserve"> et 2.</w:t>
      </w:r>
      <w:r w:rsidRPr="008E3BC9">
        <w:rPr>
          <w:rFonts w:ascii="Arial" w:eastAsia="Times New Roman" w:hAnsi="Arial" w:cs="Arial"/>
          <w:color w:val="0D0D0D" w:themeColor="text1" w:themeTint="F2"/>
          <w:sz w:val="20"/>
          <w:szCs w:val="20"/>
          <w:lang w:val="fr-BE" w:eastAsia="fr-BE"/>
        </w:rPr>
        <w:br/>
        <w:t>  § 5. Dans les quarante-huit heures, le président du bureau communal notifie les désignations aux intéressés par envoi recommandé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communal de la sélection des bureaux de vote dont ils devront assurer le dépouillement.</w:t>
      </w:r>
      <w:r w:rsidRPr="008E3BC9">
        <w:rPr>
          <w:rFonts w:ascii="Arial" w:eastAsia="Times New Roman" w:hAnsi="Arial" w:cs="Arial"/>
          <w:color w:val="0D0D0D" w:themeColor="text1" w:themeTint="F2"/>
          <w:sz w:val="20"/>
          <w:szCs w:val="20"/>
          <w:lang w:val="fr-BE" w:eastAsia="fr-BE"/>
        </w:rPr>
        <w:br/>
        <w:t>  Le président du bureau communal remplace dans le plus bref délai ceux qui, dans les cinq jours de la réception de l'avis de leur désignation, l'ont informé d'un motif légitime d'empêchement, selon les modalités prévues au paragraphe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xml:space="preserve"> ou au paragraphe 2 du présent article, selon le cas. Il communique immédiatement au Gouvernement leur identité et leurs coordonnées de contact. </w:t>
      </w:r>
      <w:r w:rsidRPr="008E3BC9">
        <w:rPr>
          <w:rFonts w:ascii="Arial" w:eastAsia="Times New Roman" w:hAnsi="Arial" w:cs="Arial"/>
          <w:color w:val="0D0D0D" w:themeColor="text1" w:themeTint="F2"/>
          <w:sz w:val="20"/>
          <w:szCs w:val="20"/>
          <w:lang w:val="fr-BE" w:eastAsia="fr-BE"/>
        </w:rPr>
        <w:br/>
        <w:t>  § 6. Abrogé.</w:t>
      </w:r>
    </w:p>
    <w:p w14:paraId="2B300A01"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 7. </w:t>
      </w:r>
      <w:bookmarkStart w:id="7" w:name="_Hlk73972181"/>
      <w:r w:rsidRPr="008E3BC9">
        <w:rPr>
          <w:rFonts w:ascii="Arial" w:eastAsia="Times New Roman" w:hAnsi="Arial" w:cs="Arial"/>
          <w:color w:val="0D0D0D" w:themeColor="text1" w:themeTint="F2"/>
          <w:sz w:val="20"/>
          <w:szCs w:val="20"/>
          <w:lang w:val="fr-BE" w:eastAsia="fr-BE"/>
        </w:rPr>
        <w:t xml:space="preserve">Le président du bureau communal complète le tableau reprenant la composition du bureau communal, des bureaux de vote et des bureaux de dépouillement communal. Il en conserve un exemplaire et en transmet un autre au président du bureau de </w:t>
      </w:r>
      <w:bookmarkStart w:id="8" w:name="_Hlk111484686"/>
      <w:r w:rsidRPr="008E3BC9">
        <w:rPr>
          <w:rFonts w:ascii="Arial" w:eastAsia="Times New Roman" w:hAnsi="Arial" w:cs="Arial"/>
          <w:color w:val="0D0D0D" w:themeColor="text1" w:themeTint="F2"/>
          <w:sz w:val="20"/>
          <w:szCs w:val="20"/>
          <w:lang w:val="fr-BE" w:eastAsia="fr-BE"/>
        </w:rPr>
        <w:t>canton, qui complète le tableau en y indiquant la composition des bureaux de dépouillement provincial.</w:t>
      </w:r>
      <w:bookmarkEnd w:id="8"/>
    </w:p>
    <w:p w14:paraId="6CFC8521" w14:textId="77777777" w:rsidR="008F2AD3" w:rsidRPr="008E3BC9"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lastRenderedPageBreak/>
        <w:t xml:space="preserve">  La finalité des formalités visées à l’alinéa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xml:space="preserve"> est de permettre au président du bureau de canton et au président du bureau communal d’exercer la mission générale de surveillance des opérations électorales visée aux articles L4125-2, § 6, alinéa 2, première phrase, et L4125-4.</w:t>
      </w:r>
    </w:p>
    <w:p w14:paraId="2E8C28BE" w14:textId="727A44BC" w:rsidR="008F2AD3"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Les données personnelles reprises sur le tableau sont les noms, prénoms et numéros de téléphone des présidents des bureaux. Ces données sont conservées jusqu’à la validation ou l’annulation de l’élection.</w:t>
      </w:r>
      <w:r w:rsidRPr="008E3BC9">
        <w:rPr>
          <w:rFonts w:ascii="Arial" w:eastAsia="Times New Roman" w:hAnsi="Arial" w:cs="Arial"/>
          <w:color w:val="0D0D0D" w:themeColor="text1" w:themeTint="F2"/>
          <w:sz w:val="20"/>
          <w:szCs w:val="20"/>
          <w:lang w:val="fr-BE" w:eastAsia="fr-BE"/>
        </w:rPr>
        <w:br/>
        <w:t>  </w:t>
      </w:r>
      <w:bookmarkStart w:id="9" w:name="_Hlk96082967"/>
      <w:r w:rsidRPr="008E3BC9">
        <w:rPr>
          <w:rFonts w:ascii="Arial" w:eastAsia="Times New Roman" w:hAnsi="Arial" w:cs="Arial"/>
          <w:color w:val="0D0D0D" w:themeColor="text1" w:themeTint="F2"/>
          <w:sz w:val="20"/>
          <w:szCs w:val="20"/>
          <w:lang w:val="fr-BE" w:eastAsia="fr-BE"/>
        </w:rPr>
        <w:t>Le tableau de composition des bureaux électoraux est établi conformément au modèle arrêté par le Gouvernement.</w:t>
      </w:r>
      <w:bookmarkEnd w:id="7"/>
      <w:bookmarkEnd w:id="9"/>
    </w:p>
    <w:p w14:paraId="5203CE46" w14:textId="768E6EBA" w:rsidR="008F2AD3" w:rsidRPr="008E3BC9" w:rsidRDefault="00E02E5B" w:rsidP="00C05994">
      <w:pPr>
        <w:spacing w:line="276" w:lineRule="auto"/>
        <w:jc w:val="both"/>
        <w:rPr>
          <w:rFonts w:ascii="Arial" w:eastAsia="Times New Roman" w:hAnsi="Arial" w:cs="Arial"/>
          <w:color w:val="0D0D0D" w:themeColor="text1" w:themeTint="F2"/>
          <w:sz w:val="20"/>
          <w:szCs w:val="20"/>
          <w:lang w:val="fr-BE" w:eastAsia="fr-BE"/>
        </w:rPr>
      </w:pPr>
      <w:r w:rsidRPr="007501EF">
        <w:rPr>
          <w:rFonts w:ascii="Arial" w:eastAsia="Times New Roman" w:hAnsi="Arial" w:cs="Arial"/>
          <w:color w:val="262626" w:themeColor="text1" w:themeTint="D9"/>
          <w:sz w:val="20"/>
          <w:szCs w:val="20"/>
          <w:lang w:val="fr-BE" w:eastAsia="fr-BE"/>
        </w:rPr>
        <w:t>§ 8. La finalité de la communication visée au paragraphe 2, alinéa 3, est de pouvoir contacter les membres du bureau de vote, du bureau de dépouillement communal en vue d’auditions à mener dans le cadre de l’instruction administrative des recours introduits contre l’élection, conformément aux articles L4146-6, § 1</w:t>
      </w:r>
      <w:r w:rsidRPr="007501EF">
        <w:rPr>
          <w:rFonts w:ascii="Arial" w:eastAsia="Times New Roman" w:hAnsi="Arial" w:cs="Arial"/>
          <w:color w:val="262626" w:themeColor="text1" w:themeTint="D9"/>
          <w:sz w:val="20"/>
          <w:szCs w:val="20"/>
          <w:vertAlign w:val="superscript"/>
          <w:lang w:val="fr-BE" w:eastAsia="fr-BE"/>
        </w:rPr>
        <w:t>er</w:t>
      </w:r>
      <w:r w:rsidRPr="007501EF">
        <w:rPr>
          <w:rFonts w:ascii="Arial" w:eastAsia="Times New Roman" w:hAnsi="Arial" w:cs="Arial"/>
          <w:color w:val="262626" w:themeColor="text1" w:themeTint="D9"/>
          <w:sz w:val="20"/>
          <w:szCs w:val="20"/>
          <w:lang w:val="fr-BE" w:eastAsia="fr-BE"/>
        </w:rPr>
        <w:t>, alinéa 4, et L4146-23/1.</w:t>
      </w:r>
      <w:r w:rsidR="008F2AD3" w:rsidRPr="008E3BC9">
        <w:rPr>
          <w:rFonts w:ascii="Arial" w:eastAsia="Times New Roman" w:hAnsi="Arial" w:cs="Arial"/>
          <w:color w:val="0D0D0D" w:themeColor="text1" w:themeTint="F2"/>
          <w:sz w:val="20"/>
          <w:szCs w:val="20"/>
          <w:lang w:val="fr-BE" w:eastAsia="fr-BE"/>
        </w:rPr>
        <w:t xml:space="preserve">  La communication visée au paragraphe 1</w:t>
      </w:r>
      <w:r w:rsidR="008F2AD3" w:rsidRPr="008E3BC9">
        <w:rPr>
          <w:rFonts w:ascii="Arial" w:eastAsia="Times New Roman" w:hAnsi="Arial" w:cs="Arial"/>
          <w:color w:val="0D0D0D" w:themeColor="text1" w:themeTint="F2"/>
          <w:sz w:val="20"/>
          <w:szCs w:val="20"/>
          <w:vertAlign w:val="superscript"/>
          <w:lang w:val="fr-BE" w:eastAsia="fr-BE"/>
        </w:rPr>
        <w:t>er</w:t>
      </w:r>
      <w:r w:rsidR="008F2AD3" w:rsidRPr="008E3BC9">
        <w:rPr>
          <w:rFonts w:ascii="Arial" w:eastAsia="Times New Roman" w:hAnsi="Arial" w:cs="Arial"/>
          <w:color w:val="0D0D0D" w:themeColor="text1" w:themeTint="F2"/>
          <w:sz w:val="20"/>
          <w:szCs w:val="20"/>
          <w:lang w:val="fr-BE" w:eastAsia="fr-BE"/>
        </w:rPr>
        <w:t>, alinéa 2, a pour finalité, outre celle décrite à l’alinéa 1</w:t>
      </w:r>
      <w:r w:rsidR="008F2AD3" w:rsidRPr="008E3BC9">
        <w:rPr>
          <w:rFonts w:ascii="Arial" w:eastAsia="Times New Roman" w:hAnsi="Arial" w:cs="Arial"/>
          <w:color w:val="0D0D0D" w:themeColor="text1" w:themeTint="F2"/>
          <w:sz w:val="20"/>
          <w:szCs w:val="20"/>
          <w:vertAlign w:val="superscript"/>
          <w:lang w:val="fr-BE" w:eastAsia="fr-BE"/>
        </w:rPr>
        <w:t>er</w:t>
      </w:r>
      <w:r w:rsidR="008F2AD3" w:rsidRPr="008E3BC9">
        <w:rPr>
          <w:rFonts w:ascii="Arial" w:eastAsia="Times New Roman" w:hAnsi="Arial" w:cs="Arial"/>
          <w:color w:val="0D0D0D" w:themeColor="text1" w:themeTint="F2"/>
          <w:sz w:val="20"/>
          <w:szCs w:val="20"/>
          <w:lang w:val="fr-BE" w:eastAsia="fr-BE"/>
        </w:rPr>
        <w:t xml:space="preserve">, de permettre au délégué du Gouvernement d’accomplir sa mission d’accompagnement permanent des présidents des bureaux électoraux. </w:t>
      </w:r>
    </w:p>
    <w:p w14:paraId="1D89DB7A" w14:textId="61350390" w:rsidR="00945AE5" w:rsidRDefault="008F2AD3" w:rsidP="00C05994">
      <w:pPr>
        <w:spacing w:line="276" w:lineRule="auto"/>
        <w:jc w:val="both"/>
        <w:rPr>
          <w:rFonts w:ascii="Arial" w:eastAsia="Times New Roman" w:hAnsi="Arial" w:cs="Arial"/>
          <w:color w:val="0D0D0D" w:themeColor="text1" w:themeTint="F2"/>
          <w:sz w:val="20"/>
          <w:szCs w:val="20"/>
          <w:lang w:val="fr-BE" w:eastAsia="fr-BE"/>
        </w:rPr>
      </w:pPr>
      <w:r w:rsidRPr="008E3BC9">
        <w:rPr>
          <w:rFonts w:ascii="Arial" w:eastAsia="Times New Roman" w:hAnsi="Arial" w:cs="Arial"/>
          <w:color w:val="0D0D0D" w:themeColor="text1" w:themeTint="F2"/>
          <w:sz w:val="20"/>
          <w:szCs w:val="20"/>
          <w:lang w:val="fr-BE" w:eastAsia="fr-BE"/>
        </w:rPr>
        <w:t xml:space="preserve"> Les données personnelles transmises au Gouvernement dans le cadre des communications visées au paragraphe 1</w:t>
      </w:r>
      <w:r w:rsidRPr="008E3BC9">
        <w:rPr>
          <w:rFonts w:ascii="Arial" w:eastAsia="Times New Roman" w:hAnsi="Arial" w:cs="Arial"/>
          <w:color w:val="0D0D0D" w:themeColor="text1" w:themeTint="F2"/>
          <w:sz w:val="20"/>
          <w:szCs w:val="20"/>
          <w:vertAlign w:val="superscript"/>
          <w:lang w:val="fr-BE" w:eastAsia="fr-BE"/>
        </w:rPr>
        <w:t>er</w:t>
      </w:r>
      <w:r w:rsidRPr="008E3BC9">
        <w:rPr>
          <w:rFonts w:ascii="Arial" w:eastAsia="Times New Roman" w:hAnsi="Arial" w:cs="Arial"/>
          <w:color w:val="0D0D0D" w:themeColor="text1" w:themeTint="F2"/>
          <w:sz w:val="20"/>
          <w:szCs w:val="20"/>
          <w:lang w:val="fr-BE" w:eastAsia="fr-BE"/>
        </w:rPr>
        <w:t>, alinéa 2, et au paragraphe 2, alinéa 3, sont les noms, prénoms, numéros de téléphone et adresses mail.</w:t>
      </w:r>
    </w:p>
    <w:p w14:paraId="13FF3F3A" w14:textId="77777777" w:rsidR="00E9426E" w:rsidRDefault="00E9426E" w:rsidP="00365195">
      <w:pPr>
        <w:spacing w:before="100" w:beforeAutospacing="1" w:after="100" w:afterAutospacing="1"/>
        <w:jc w:val="both"/>
        <w:rPr>
          <w:rFonts w:ascii="Arial" w:eastAsia="Times New Roman" w:hAnsi="Arial" w:cs="Arial"/>
          <w:color w:val="0D0D0D" w:themeColor="text1" w:themeTint="F2"/>
          <w:sz w:val="20"/>
          <w:szCs w:val="20"/>
          <w:lang w:val="fr-BE" w:eastAsia="fr-BE"/>
        </w:rPr>
      </w:pPr>
    </w:p>
    <w:p w14:paraId="7490EB9B" w14:textId="77777777" w:rsidR="00E9426E" w:rsidRPr="008E3BC9" w:rsidRDefault="00E9426E" w:rsidP="00365195">
      <w:pPr>
        <w:spacing w:before="100" w:beforeAutospacing="1" w:after="100" w:afterAutospacing="1"/>
        <w:jc w:val="both"/>
        <w:rPr>
          <w:rFonts w:ascii="Arial" w:eastAsia="Times New Roman" w:hAnsi="Arial" w:cs="Arial"/>
          <w:color w:val="0D0D0D" w:themeColor="text1" w:themeTint="F2"/>
          <w:sz w:val="20"/>
          <w:szCs w:val="20"/>
          <w:lang w:val="fr-BE" w:eastAsia="fr-BE"/>
        </w:rPr>
      </w:pPr>
    </w:p>
    <w:bookmarkEnd w:id="0"/>
    <w:p w14:paraId="44D9AE76" w14:textId="39BA95DD" w:rsidR="0000658C" w:rsidRPr="00365195" w:rsidRDefault="0000658C" w:rsidP="00365195">
      <w:pPr>
        <w:pStyle w:val="NormalWeb"/>
        <w:tabs>
          <w:tab w:val="left" w:pos="2552"/>
        </w:tabs>
        <w:spacing w:line="276" w:lineRule="auto"/>
        <w:jc w:val="center"/>
        <w:rPr>
          <w:rFonts w:ascii="Arial" w:hAnsi="Arial" w:cs="Arial"/>
          <w:sz w:val="20"/>
          <w:szCs w:val="20"/>
        </w:rPr>
      </w:pPr>
    </w:p>
    <w:sectPr w:rsidR="0000658C" w:rsidRPr="00365195"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C5C2" w14:textId="77777777" w:rsidR="000B09D3" w:rsidRDefault="000B09D3" w:rsidP="00C37432">
      <w:r>
        <w:separator/>
      </w:r>
    </w:p>
  </w:endnote>
  <w:endnote w:type="continuationSeparator" w:id="0">
    <w:p w14:paraId="1D462A33" w14:textId="77777777" w:rsidR="000B09D3" w:rsidRDefault="000B09D3"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723320"/>
      <w:docPartObj>
        <w:docPartGallery w:val="Page Numbers (Bottom of Page)"/>
        <w:docPartUnique/>
      </w:docPartObj>
    </w:sdtPr>
    <w:sdtEndPr/>
    <w:sdtContent>
      <w:sdt>
        <w:sdtPr>
          <w:id w:val="-1769616900"/>
          <w:docPartObj>
            <w:docPartGallery w:val="Page Numbers (Top of Page)"/>
            <w:docPartUnique/>
          </w:docPartObj>
        </w:sdtPr>
        <w:sdtEndPr/>
        <w:sdtContent>
          <w:p w14:paraId="334D5113" w14:textId="129B10B1" w:rsidR="008E3BC9" w:rsidRDefault="001E682F">
            <w:pPr>
              <w:pStyle w:val="Pieddepage"/>
              <w:jc w:val="right"/>
            </w:pPr>
            <w:r>
              <w:rPr>
                <w:noProof/>
              </w:rPr>
              <w:drawing>
                <wp:anchor distT="0" distB="0" distL="114300" distR="114300" simplePos="0" relativeHeight="251659264" behindDoc="1" locked="0" layoutInCell="1" allowOverlap="1" wp14:anchorId="5EC796A1" wp14:editId="6BE8AC69">
                  <wp:simplePos x="0" y="0"/>
                  <wp:positionH relativeFrom="column">
                    <wp:posOffset>-385445</wp:posOffset>
                  </wp:positionH>
                  <wp:positionV relativeFrom="paragraph">
                    <wp:posOffset>-119380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8E3BC9">
              <w:t xml:space="preserve">Page </w:t>
            </w:r>
            <w:r w:rsidR="008E3BC9">
              <w:rPr>
                <w:b/>
                <w:bCs/>
                <w:sz w:val="24"/>
                <w:szCs w:val="24"/>
              </w:rPr>
              <w:fldChar w:fldCharType="begin"/>
            </w:r>
            <w:r w:rsidR="008E3BC9">
              <w:rPr>
                <w:b/>
                <w:bCs/>
              </w:rPr>
              <w:instrText>PAGE</w:instrText>
            </w:r>
            <w:r w:rsidR="008E3BC9">
              <w:rPr>
                <w:b/>
                <w:bCs/>
                <w:sz w:val="24"/>
                <w:szCs w:val="24"/>
              </w:rPr>
              <w:fldChar w:fldCharType="separate"/>
            </w:r>
            <w:r w:rsidR="008E3BC9">
              <w:rPr>
                <w:b/>
                <w:bCs/>
              </w:rPr>
              <w:t>2</w:t>
            </w:r>
            <w:r w:rsidR="008E3BC9">
              <w:rPr>
                <w:b/>
                <w:bCs/>
                <w:sz w:val="24"/>
                <w:szCs w:val="24"/>
              </w:rPr>
              <w:fldChar w:fldCharType="end"/>
            </w:r>
            <w:r w:rsidR="008E3BC9">
              <w:t xml:space="preserve"> sur </w:t>
            </w:r>
            <w:r w:rsidR="008E3BC9">
              <w:rPr>
                <w:b/>
                <w:bCs/>
                <w:sz w:val="24"/>
                <w:szCs w:val="24"/>
              </w:rPr>
              <w:fldChar w:fldCharType="begin"/>
            </w:r>
            <w:r w:rsidR="008E3BC9">
              <w:rPr>
                <w:b/>
                <w:bCs/>
              </w:rPr>
              <w:instrText>NUMPAGES</w:instrText>
            </w:r>
            <w:r w:rsidR="008E3BC9">
              <w:rPr>
                <w:b/>
                <w:bCs/>
                <w:sz w:val="24"/>
                <w:szCs w:val="24"/>
              </w:rPr>
              <w:fldChar w:fldCharType="separate"/>
            </w:r>
            <w:r w:rsidR="008E3BC9">
              <w:rPr>
                <w:b/>
                <w:bCs/>
              </w:rPr>
              <w:t>2</w:t>
            </w:r>
            <w:r w:rsidR="008E3BC9">
              <w:rPr>
                <w:b/>
                <w:bCs/>
                <w:sz w:val="24"/>
                <w:szCs w:val="24"/>
              </w:rPr>
              <w:fldChar w:fldCharType="end"/>
            </w:r>
          </w:p>
        </w:sdtContent>
      </w:sdt>
    </w:sdtContent>
  </w:sdt>
  <w:p w14:paraId="2C1649DF" w14:textId="54F69410" w:rsidR="00017012" w:rsidRDefault="000170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E158" w14:textId="77777777" w:rsidR="000B09D3" w:rsidRDefault="000B09D3" w:rsidP="00C37432">
      <w:r>
        <w:separator/>
      </w:r>
    </w:p>
  </w:footnote>
  <w:footnote w:type="continuationSeparator" w:id="0">
    <w:p w14:paraId="463972EA" w14:textId="77777777" w:rsidR="000B09D3" w:rsidRDefault="000B09D3" w:rsidP="00C37432">
      <w:r>
        <w:continuationSeparator/>
      </w:r>
    </w:p>
  </w:footnote>
  <w:footnote w:id="1">
    <w:p w14:paraId="745A20FC" w14:textId="43B68A5D" w:rsidR="00945AE5" w:rsidRPr="008E3BC9" w:rsidRDefault="00945AE5" w:rsidP="00945AE5">
      <w:pPr>
        <w:pStyle w:val="Notedebasdepage"/>
        <w:jc w:val="both"/>
        <w:rPr>
          <w:rFonts w:ascii="Arial" w:hAnsi="Arial" w:cs="Arial"/>
          <w:sz w:val="16"/>
          <w:szCs w:val="16"/>
        </w:rPr>
      </w:pPr>
      <w:r w:rsidRPr="008E3BC9">
        <w:rPr>
          <w:rStyle w:val="Appelnotedebasdep"/>
          <w:rFonts w:ascii="Arial" w:hAnsi="Arial" w:cs="Arial"/>
          <w:sz w:val="16"/>
          <w:szCs w:val="16"/>
        </w:rPr>
        <w:footnoteRef/>
      </w:r>
      <w:r w:rsidRPr="008E3BC9">
        <w:rPr>
          <w:rFonts w:ascii="Arial" w:hAnsi="Arial" w:cs="Arial"/>
          <w:sz w:val="16"/>
          <w:szCs w:val="16"/>
        </w:rPr>
        <w:t xml:space="preserve">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F93" w14:textId="1D37806B" w:rsidR="001E682F" w:rsidRDefault="001E682F">
    <w:pPr>
      <w:pStyle w:val="En-tte"/>
    </w:pPr>
    <w:r>
      <w:rPr>
        <w:noProof/>
      </w:rPr>
      <w:drawing>
        <wp:anchor distT="0" distB="0" distL="114300" distR="114300" simplePos="0" relativeHeight="251658240" behindDoc="0" locked="0" layoutInCell="1" allowOverlap="1" wp14:anchorId="30DC4203" wp14:editId="40A1B418">
          <wp:simplePos x="0" y="0"/>
          <wp:positionH relativeFrom="column">
            <wp:posOffset>5469255</wp:posOffset>
          </wp:positionH>
          <wp:positionV relativeFrom="paragraph">
            <wp:posOffset>-330200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8117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o:colormenu v:ext="edit" fillcolor="none [321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635B"/>
    <w:rsid w:val="00081B93"/>
    <w:rsid w:val="000B09D3"/>
    <w:rsid w:val="000C517A"/>
    <w:rsid w:val="000E33A3"/>
    <w:rsid w:val="00161F14"/>
    <w:rsid w:val="00194057"/>
    <w:rsid w:val="001D5975"/>
    <w:rsid w:val="001E682F"/>
    <w:rsid w:val="00264AB5"/>
    <w:rsid w:val="002B3E4E"/>
    <w:rsid w:val="002E7A54"/>
    <w:rsid w:val="00352F5C"/>
    <w:rsid w:val="00365195"/>
    <w:rsid w:val="00442978"/>
    <w:rsid w:val="00442D7C"/>
    <w:rsid w:val="00456A94"/>
    <w:rsid w:val="004C17E5"/>
    <w:rsid w:val="004F0322"/>
    <w:rsid w:val="00515E2A"/>
    <w:rsid w:val="005C48BA"/>
    <w:rsid w:val="005F0C93"/>
    <w:rsid w:val="0062595C"/>
    <w:rsid w:val="006460FB"/>
    <w:rsid w:val="006F32ED"/>
    <w:rsid w:val="0070451C"/>
    <w:rsid w:val="00704FB4"/>
    <w:rsid w:val="00705121"/>
    <w:rsid w:val="00824792"/>
    <w:rsid w:val="00851B70"/>
    <w:rsid w:val="008D245E"/>
    <w:rsid w:val="008E3BC9"/>
    <w:rsid w:val="008E44FC"/>
    <w:rsid w:val="008E6DF3"/>
    <w:rsid w:val="008F2AD3"/>
    <w:rsid w:val="00945AE5"/>
    <w:rsid w:val="009651CD"/>
    <w:rsid w:val="009D7EE7"/>
    <w:rsid w:val="00A01789"/>
    <w:rsid w:val="00AE10E7"/>
    <w:rsid w:val="00B46444"/>
    <w:rsid w:val="00B94ACA"/>
    <w:rsid w:val="00BB133E"/>
    <w:rsid w:val="00BB35F7"/>
    <w:rsid w:val="00C05994"/>
    <w:rsid w:val="00C37432"/>
    <w:rsid w:val="00C60D9C"/>
    <w:rsid w:val="00C96A35"/>
    <w:rsid w:val="00D1296D"/>
    <w:rsid w:val="00DE49CE"/>
    <w:rsid w:val="00E02E5B"/>
    <w:rsid w:val="00E50B54"/>
    <w:rsid w:val="00E67763"/>
    <w:rsid w:val="00E9426E"/>
    <w:rsid w:val="00E94C5A"/>
    <w:rsid w:val="00F91D9A"/>
    <w:rsid w:val="00FB11EA"/>
    <w:rsid w:val="00FB3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3212]"/>
    </o:shapedefaults>
    <o:shapelayout v:ext="edit">
      <o:idmap v:ext="edit" data="1"/>
    </o:shapelayout>
  </w:shapeDefaults>
  <w:decimalSymbol w:val=","/>
  <w:listSeparator w:val=";"/>
  <w14:docId w14:val="51CD16CA"/>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character" w:styleId="Lienhypertexte">
    <w:name w:val="Hyperlink"/>
    <w:basedOn w:val="Policepardfaut"/>
    <w:uiPriority w:val="99"/>
    <w:unhideWhenUsed/>
    <w:rsid w:val="008F2AD3"/>
    <w:rPr>
      <w:color w:val="0000FF" w:themeColor="hyperlink"/>
      <w:u w:val="single"/>
    </w:rPr>
  </w:style>
  <w:style w:type="character" w:styleId="Mentionnonrsolue">
    <w:name w:val="Unresolved Mention"/>
    <w:basedOn w:val="Policepardfaut"/>
    <w:uiPriority w:val="99"/>
    <w:semiHidden/>
    <w:unhideWhenUsed/>
    <w:rsid w:val="008F2AD3"/>
    <w:rPr>
      <w:color w:val="605E5C"/>
      <w:shd w:val="clear" w:color="auto" w:fill="E1DFDD"/>
    </w:rPr>
  </w:style>
  <w:style w:type="paragraph" w:styleId="NormalWeb">
    <w:name w:val="Normal (Web)"/>
    <w:basedOn w:val="Normal"/>
    <w:uiPriority w:val="99"/>
    <w:unhideWhenUsed/>
    <w:rsid w:val="00DE49CE"/>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5F0C9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5333">
      <w:bodyDiv w:val="1"/>
      <w:marLeft w:val="0"/>
      <w:marRight w:val="0"/>
      <w:marTop w:val="0"/>
      <w:marBottom w:val="0"/>
      <w:divBdr>
        <w:top w:val="none" w:sz="0" w:space="0" w:color="auto"/>
        <w:left w:val="none" w:sz="0" w:space="0" w:color="auto"/>
        <w:bottom w:val="none" w:sz="0" w:space="0" w:color="auto"/>
        <w:right w:val="none" w:sz="0" w:space="0" w:color="auto"/>
      </w:divBdr>
    </w:div>
    <w:div w:id="398484575">
      <w:bodyDiv w:val="1"/>
      <w:marLeft w:val="0"/>
      <w:marRight w:val="0"/>
      <w:marTop w:val="0"/>
      <w:marBottom w:val="0"/>
      <w:divBdr>
        <w:top w:val="none" w:sz="0" w:space="0" w:color="auto"/>
        <w:left w:val="none" w:sz="0" w:space="0" w:color="auto"/>
        <w:bottom w:val="none" w:sz="0" w:space="0" w:color="auto"/>
        <w:right w:val="none" w:sz="0" w:space="0" w:color="auto"/>
      </w:divBdr>
    </w:div>
    <w:div w:id="4404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C11DA-166C-4F55-AE4D-FBA23DB9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6003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2024-04-08T13:53:00Z</dcterms:created>
  <dcterms:modified xsi:type="dcterms:W3CDTF">2024-05-17T07:20:00Z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2023-04-09T13:47:25Z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f59e4e48-745f-4b73-ae99-0002f6c52843</vt:lpwstr>
  </property>
  <property fmtid="{D5CDD505-2E9C-101B-9397-08002B2CF9AE}" pid="8" name="MSIP_Label_97a477d1-147d-4e34-b5e3-7b26d2f44870_ContentBits">
    <vt:lpwstr>0</vt:lpwstr>
  </property>
</Properties>
</file>