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9EE0" w14:textId="77777777" w:rsidR="007D62A3" w:rsidRDefault="007D62A3" w:rsidP="007D62A3">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7D62A3">
        <w:rPr>
          <w:rFonts w:ascii="Arial" w:eastAsia="Arial" w:hAnsi="Arial" w:cs="Arial"/>
          <w:b/>
          <w:color w:val="000000" w:themeColor="text1"/>
          <w:kern w:val="2"/>
          <w:sz w:val="24"/>
          <w:szCs w:val="24"/>
          <w:lang w:val="fr"/>
        </w:rPr>
        <w:t>Elections communales et provinciales du 13 octobre 2024</w:t>
      </w:r>
    </w:p>
    <w:p w14:paraId="53DFCEC2" w14:textId="3515F3B2" w:rsidR="007D62A3" w:rsidRPr="007D62A3" w:rsidRDefault="007D62A3" w:rsidP="007D62A3">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7D62A3">
        <w:rPr>
          <w:rFonts w:ascii="Arial" w:eastAsia="Arial" w:hAnsi="Arial" w:cs="Arial"/>
          <w:b/>
          <w:color w:val="000000" w:themeColor="text1"/>
          <w:kern w:val="2"/>
          <w:sz w:val="24"/>
          <w:szCs w:val="24"/>
          <w:lang w:val="fr"/>
        </w:rPr>
        <w:t>Attestation justifiant de la nécessité d’une tâche exceptionnelle</w:t>
      </w:r>
      <w:r w:rsidRPr="001520F6">
        <w:rPr>
          <w:rStyle w:val="Appelnotedebasdep"/>
          <w:rFonts w:ascii="Arial" w:hAnsi="Arial" w:cs="Arial"/>
          <w:color w:val="0D0D0D" w:themeColor="text1" w:themeTint="F2"/>
          <w:sz w:val="20"/>
          <w:szCs w:val="20"/>
        </w:rPr>
        <w:footnoteReference w:id="1"/>
      </w:r>
    </w:p>
    <w:bookmarkEnd w:id="0"/>
    <w:p w14:paraId="35CC19C3" w14:textId="6A6F5953" w:rsidR="008E44FC" w:rsidRPr="001520F6" w:rsidRDefault="008E44FC" w:rsidP="00F5396C">
      <w:pPr>
        <w:jc w:val="both"/>
        <w:rPr>
          <w:rFonts w:ascii="Arial" w:hAnsi="Arial" w:cs="Arial"/>
          <w:color w:val="0D0D0D" w:themeColor="text1" w:themeTint="F2"/>
          <w:sz w:val="20"/>
          <w:szCs w:val="20"/>
        </w:rPr>
      </w:pPr>
    </w:p>
    <w:p w14:paraId="4DD0C481" w14:textId="77777777" w:rsidR="00261615" w:rsidRPr="001520F6" w:rsidRDefault="00261615" w:rsidP="001243B6">
      <w:pPr>
        <w:jc w:val="both"/>
        <w:rPr>
          <w:rFonts w:ascii="Arial" w:hAnsi="Arial" w:cs="Arial"/>
          <w:color w:val="0D0D0D" w:themeColor="text1" w:themeTint="F2"/>
          <w:sz w:val="20"/>
          <w:szCs w:val="20"/>
        </w:rPr>
      </w:pPr>
    </w:p>
    <w:p w14:paraId="7EBEFA6B" w14:textId="6FAA9415" w:rsidR="00261615" w:rsidRPr="001520F6" w:rsidRDefault="00261615" w:rsidP="00997405">
      <w:pPr>
        <w:spacing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Province : ……………………………………………………</w:t>
      </w:r>
      <w:proofErr w:type="gramStart"/>
      <w:r w:rsidRPr="001520F6">
        <w:rPr>
          <w:rFonts w:ascii="Arial" w:hAnsi="Arial" w:cs="Arial"/>
          <w:color w:val="0D0D0D" w:themeColor="text1" w:themeTint="F2"/>
          <w:sz w:val="20"/>
          <w:szCs w:val="20"/>
        </w:rPr>
        <w:t>…….</w:t>
      </w:r>
      <w:proofErr w:type="gramEnd"/>
      <w:r w:rsidRPr="001520F6">
        <w:rPr>
          <w:rFonts w:ascii="Arial" w:hAnsi="Arial" w:cs="Arial"/>
          <w:color w:val="0D0D0D" w:themeColor="text1" w:themeTint="F2"/>
          <w:sz w:val="20"/>
          <w:szCs w:val="20"/>
        </w:rPr>
        <w:t>.</w:t>
      </w:r>
    </w:p>
    <w:p w14:paraId="49DE3773" w14:textId="7DFFD958" w:rsidR="00261615" w:rsidRPr="001520F6" w:rsidRDefault="00261615" w:rsidP="00997405">
      <w:pPr>
        <w:spacing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Canton électoral : ……………………………………………</w:t>
      </w:r>
      <w:proofErr w:type="gramStart"/>
      <w:r w:rsidRPr="001520F6">
        <w:rPr>
          <w:rFonts w:ascii="Arial" w:hAnsi="Arial" w:cs="Arial"/>
          <w:color w:val="0D0D0D" w:themeColor="text1" w:themeTint="F2"/>
          <w:sz w:val="20"/>
          <w:szCs w:val="20"/>
        </w:rPr>
        <w:t>…….</w:t>
      </w:r>
      <w:proofErr w:type="gramEnd"/>
      <w:r w:rsidRPr="001520F6">
        <w:rPr>
          <w:rFonts w:ascii="Arial" w:hAnsi="Arial" w:cs="Arial"/>
          <w:color w:val="0D0D0D" w:themeColor="text1" w:themeTint="F2"/>
          <w:sz w:val="20"/>
          <w:szCs w:val="20"/>
        </w:rPr>
        <w:t>.</w:t>
      </w:r>
    </w:p>
    <w:p w14:paraId="6D02091F" w14:textId="77777777" w:rsidR="00261615" w:rsidRPr="001520F6" w:rsidRDefault="00261615" w:rsidP="00997405">
      <w:pPr>
        <w:spacing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Commune : ………………………………………………………….</w:t>
      </w:r>
    </w:p>
    <w:p w14:paraId="0224DC02" w14:textId="77777777" w:rsidR="00261615" w:rsidRPr="001520F6" w:rsidRDefault="00261615" w:rsidP="00997405">
      <w:pPr>
        <w:spacing w:line="276" w:lineRule="auto"/>
        <w:jc w:val="both"/>
        <w:rPr>
          <w:rFonts w:ascii="Arial" w:hAnsi="Arial" w:cs="Arial"/>
          <w:color w:val="0D0D0D" w:themeColor="text1" w:themeTint="F2"/>
          <w:sz w:val="20"/>
          <w:szCs w:val="20"/>
        </w:rPr>
      </w:pPr>
    </w:p>
    <w:p w14:paraId="47663733" w14:textId="77777777" w:rsidR="008E44FC" w:rsidRPr="001520F6" w:rsidRDefault="008E44FC" w:rsidP="00997405">
      <w:pPr>
        <w:spacing w:line="276" w:lineRule="auto"/>
        <w:jc w:val="both"/>
        <w:rPr>
          <w:rFonts w:ascii="Arial" w:hAnsi="Arial" w:cs="Arial"/>
          <w:color w:val="0D0D0D" w:themeColor="text1" w:themeTint="F2"/>
          <w:sz w:val="20"/>
          <w:szCs w:val="20"/>
        </w:rPr>
      </w:pPr>
    </w:p>
    <w:p w14:paraId="5437EE49" w14:textId="49373F14" w:rsidR="00261615" w:rsidRPr="001520F6" w:rsidRDefault="00261615" w:rsidP="00997405">
      <w:pPr>
        <w:pStyle w:val="Paragraphedeliste"/>
        <w:numPr>
          <w:ilvl w:val="0"/>
          <w:numId w:val="8"/>
        </w:numPr>
        <w:spacing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Bureau communal</w:t>
      </w:r>
    </w:p>
    <w:p w14:paraId="00BD556B" w14:textId="677BB5E2" w:rsidR="00261615" w:rsidRPr="001520F6" w:rsidRDefault="00261615" w:rsidP="00997405">
      <w:pPr>
        <w:pStyle w:val="Paragraphedeliste"/>
        <w:numPr>
          <w:ilvl w:val="0"/>
          <w:numId w:val="8"/>
        </w:numPr>
        <w:spacing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Bureau de district</w:t>
      </w:r>
    </w:p>
    <w:p w14:paraId="7A8296C0" w14:textId="1BD804A7" w:rsidR="00261615" w:rsidRDefault="00261615" w:rsidP="00997405">
      <w:pPr>
        <w:pStyle w:val="Paragraphedeliste"/>
        <w:numPr>
          <w:ilvl w:val="0"/>
          <w:numId w:val="8"/>
        </w:numPr>
        <w:spacing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Bureau de canton</w:t>
      </w:r>
    </w:p>
    <w:p w14:paraId="7DED3A9B" w14:textId="77777777" w:rsidR="007D62A3" w:rsidRPr="001520F6" w:rsidRDefault="007D62A3" w:rsidP="00997405">
      <w:pPr>
        <w:pStyle w:val="Paragraphedeliste"/>
        <w:numPr>
          <w:ilvl w:val="0"/>
          <w:numId w:val="8"/>
        </w:numPr>
        <w:spacing w:line="276" w:lineRule="auto"/>
        <w:jc w:val="both"/>
        <w:rPr>
          <w:rFonts w:ascii="Arial" w:hAnsi="Arial" w:cs="Arial"/>
          <w:color w:val="0D0D0D" w:themeColor="text1" w:themeTint="F2"/>
          <w:sz w:val="20"/>
          <w:szCs w:val="20"/>
        </w:rPr>
      </w:pPr>
    </w:p>
    <w:p w14:paraId="37606BE1" w14:textId="7EDE3C62" w:rsidR="00005838" w:rsidRPr="001520F6" w:rsidRDefault="00261615" w:rsidP="00997405">
      <w:pPr>
        <w:spacing w:line="276" w:lineRule="auto"/>
        <w:ind w:firstLine="360"/>
        <w:jc w:val="both"/>
        <w:rPr>
          <w:rFonts w:ascii="Arial" w:hAnsi="Arial" w:cs="Arial"/>
          <w:i/>
          <w:iCs/>
          <w:color w:val="0D0D0D" w:themeColor="text1" w:themeTint="F2"/>
          <w:sz w:val="20"/>
          <w:szCs w:val="20"/>
        </w:rPr>
      </w:pPr>
      <w:r w:rsidRPr="001520F6">
        <w:rPr>
          <w:rFonts w:ascii="Arial" w:hAnsi="Arial" w:cs="Arial"/>
          <w:i/>
          <w:iCs/>
          <w:color w:val="0D0D0D" w:themeColor="text1" w:themeTint="F2"/>
          <w:sz w:val="20"/>
          <w:szCs w:val="20"/>
        </w:rPr>
        <w:t>Cochez la case adéquate</w:t>
      </w:r>
    </w:p>
    <w:p w14:paraId="6BB942B0" w14:textId="77777777" w:rsidR="008E44FC" w:rsidRPr="001520F6" w:rsidRDefault="008E44FC" w:rsidP="00997405">
      <w:pPr>
        <w:spacing w:line="276" w:lineRule="auto"/>
        <w:jc w:val="both"/>
        <w:rPr>
          <w:rFonts w:ascii="Arial" w:hAnsi="Arial" w:cs="Arial"/>
          <w:color w:val="0D0D0D" w:themeColor="text1" w:themeTint="F2"/>
          <w:sz w:val="20"/>
          <w:szCs w:val="20"/>
        </w:rPr>
      </w:pPr>
    </w:p>
    <w:p w14:paraId="3D405BA4" w14:textId="4CC7BED2" w:rsidR="000E7607" w:rsidRDefault="00C12FAC">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Je soussigné(e), Monsieur/Madame</w:t>
      </w:r>
      <w:r w:rsidRPr="001520F6">
        <w:rPr>
          <w:rFonts w:ascii="Arial" w:hAnsi="Arial" w:cs="Arial"/>
          <w:color w:val="0D0D0D" w:themeColor="text1" w:themeTint="F2"/>
          <w:sz w:val="20"/>
          <w:szCs w:val="20"/>
        </w:rPr>
        <w:tab/>
        <w:t>.,</w:t>
      </w:r>
    </w:p>
    <w:p w14:paraId="25F068D7" w14:textId="5FFB672C" w:rsidR="009F7884" w:rsidRDefault="009F7884">
      <w:pPr>
        <w:tabs>
          <w:tab w:val="right" w:leader="dot" w:pos="9639"/>
        </w:tabs>
        <w:spacing w:before="120" w:line="276" w:lineRule="auto"/>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Adresse </w:t>
      </w:r>
      <w:proofErr w:type="gramStart"/>
      <w:r w:rsidR="00FC7181">
        <w:rPr>
          <w:rFonts w:ascii="Arial" w:hAnsi="Arial" w:cs="Arial"/>
          <w:color w:val="0D0D0D" w:themeColor="text1" w:themeTint="F2"/>
          <w:sz w:val="20"/>
          <w:szCs w:val="20"/>
        </w:rPr>
        <w:t>E</w:t>
      </w:r>
      <w:r>
        <w:rPr>
          <w:rFonts w:ascii="Arial" w:hAnsi="Arial" w:cs="Arial"/>
          <w:color w:val="0D0D0D" w:themeColor="text1" w:themeTint="F2"/>
          <w:sz w:val="20"/>
          <w:szCs w:val="20"/>
        </w:rPr>
        <w:t>-mail</w:t>
      </w:r>
      <w:proofErr w:type="gramEnd"/>
      <w:r>
        <w:rPr>
          <w:rStyle w:val="Appelnotedebasdep"/>
          <w:rFonts w:ascii="Arial" w:hAnsi="Arial" w:cs="Arial"/>
          <w:color w:val="0D0D0D" w:themeColor="text1" w:themeTint="F2"/>
          <w:sz w:val="20"/>
          <w:szCs w:val="20"/>
        </w:rPr>
        <w:footnoteReference w:id="2"/>
      </w:r>
      <w:r w:rsidRPr="001520F6">
        <w:rPr>
          <w:rFonts w:ascii="Arial" w:hAnsi="Arial" w:cs="Arial"/>
          <w:color w:val="0D0D0D" w:themeColor="text1" w:themeTint="F2"/>
          <w:sz w:val="20"/>
          <w:szCs w:val="20"/>
        </w:rPr>
        <w:tab/>
        <w:t>.,</w:t>
      </w:r>
    </w:p>
    <w:p w14:paraId="34E7379F" w14:textId="2C8D75B1" w:rsidR="009F7884" w:rsidRPr="001520F6" w:rsidRDefault="009F7884" w:rsidP="00997405">
      <w:pPr>
        <w:tabs>
          <w:tab w:val="right" w:leader="dot" w:pos="9639"/>
        </w:tabs>
        <w:spacing w:before="120" w:line="276" w:lineRule="auto"/>
        <w:jc w:val="both"/>
        <w:rPr>
          <w:rFonts w:ascii="Arial" w:hAnsi="Arial" w:cs="Arial"/>
          <w:color w:val="0D0D0D" w:themeColor="text1" w:themeTint="F2"/>
          <w:sz w:val="20"/>
          <w:szCs w:val="20"/>
        </w:rPr>
      </w:pPr>
      <w:r>
        <w:rPr>
          <w:rFonts w:ascii="Arial" w:hAnsi="Arial" w:cs="Arial"/>
          <w:color w:val="0D0D0D" w:themeColor="text1" w:themeTint="F2"/>
          <w:sz w:val="20"/>
          <w:szCs w:val="20"/>
        </w:rPr>
        <w:t>Numéro de téléphone</w:t>
      </w:r>
      <w:r>
        <w:rPr>
          <w:rStyle w:val="Appelnotedebasdep"/>
          <w:rFonts w:ascii="Arial" w:hAnsi="Arial" w:cs="Arial"/>
          <w:color w:val="0D0D0D" w:themeColor="text1" w:themeTint="F2"/>
          <w:sz w:val="20"/>
          <w:szCs w:val="20"/>
        </w:rPr>
        <w:footnoteReference w:id="3"/>
      </w:r>
      <w:r w:rsidRPr="001520F6">
        <w:rPr>
          <w:rFonts w:ascii="Arial" w:hAnsi="Arial" w:cs="Arial"/>
          <w:color w:val="0D0D0D" w:themeColor="text1" w:themeTint="F2"/>
          <w:sz w:val="20"/>
          <w:szCs w:val="20"/>
        </w:rPr>
        <w:tab/>
        <w:t>.,</w:t>
      </w:r>
    </w:p>
    <w:p w14:paraId="6908663C"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proofErr w:type="gramStart"/>
      <w:r w:rsidRPr="001520F6">
        <w:rPr>
          <w:rFonts w:ascii="Arial" w:hAnsi="Arial" w:cs="Arial"/>
          <w:color w:val="0D0D0D" w:themeColor="text1" w:themeTint="F2"/>
          <w:sz w:val="20"/>
          <w:szCs w:val="20"/>
        </w:rPr>
        <w:t>déclare</w:t>
      </w:r>
      <w:proofErr w:type="gramEnd"/>
      <w:r w:rsidRPr="001520F6">
        <w:rPr>
          <w:rFonts w:ascii="Arial" w:hAnsi="Arial" w:cs="Arial"/>
          <w:color w:val="0D0D0D" w:themeColor="text1" w:themeTint="F2"/>
          <w:sz w:val="20"/>
          <w:szCs w:val="20"/>
        </w:rPr>
        <w:t xml:space="preserve"> avoir effectué la ou les tâche(s) suivante(s) : </w:t>
      </w:r>
      <w:r w:rsidRPr="001520F6">
        <w:rPr>
          <w:rFonts w:ascii="Arial" w:hAnsi="Arial" w:cs="Arial"/>
          <w:color w:val="0D0D0D" w:themeColor="text1" w:themeTint="F2"/>
          <w:sz w:val="20"/>
          <w:szCs w:val="20"/>
        </w:rPr>
        <w:tab/>
      </w:r>
    </w:p>
    <w:p w14:paraId="02470CD4"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ab/>
      </w:r>
    </w:p>
    <w:p w14:paraId="7AC3CC3F"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ab/>
      </w:r>
    </w:p>
    <w:p w14:paraId="170E5774"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p>
    <w:p w14:paraId="1C3DB424"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Cette tâche (ces tâches) était (étaient) justifiée(s) en raison des motifs suivants :</w:t>
      </w:r>
    </w:p>
    <w:p w14:paraId="063488FF"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ab/>
      </w:r>
    </w:p>
    <w:p w14:paraId="28784FCB"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ab/>
      </w:r>
    </w:p>
    <w:p w14:paraId="62808685"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p>
    <w:p w14:paraId="1E0642D8" w14:textId="77777777" w:rsidR="001D24EA" w:rsidRDefault="001D24EA" w:rsidP="001D24EA">
      <w:pPr>
        <w:tabs>
          <w:tab w:val="right" w:leader="dot" w:pos="9639"/>
        </w:tabs>
        <w:spacing w:before="120" w:line="276" w:lineRule="auto"/>
        <w:jc w:val="both"/>
        <w:rPr>
          <w:rFonts w:ascii="Arial" w:hAnsi="Arial" w:cs="Arial"/>
          <w:color w:val="0D0D0D" w:themeColor="text1" w:themeTint="F2"/>
          <w:sz w:val="20"/>
          <w:szCs w:val="20"/>
        </w:rPr>
      </w:pPr>
    </w:p>
    <w:p w14:paraId="7326B5F3" w14:textId="77777777" w:rsidR="001D24EA" w:rsidRDefault="001D24EA" w:rsidP="001D24EA">
      <w:pPr>
        <w:tabs>
          <w:tab w:val="right" w:leader="dot" w:pos="9639"/>
        </w:tabs>
        <w:spacing w:before="120" w:line="276" w:lineRule="auto"/>
        <w:jc w:val="both"/>
        <w:rPr>
          <w:rFonts w:ascii="Arial" w:hAnsi="Arial" w:cs="Arial"/>
          <w:color w:val="0D0D0D" w:themeColor="text1" w:themeTint="F2"/>
          <w:sz w:val="20"/>
          <w:szCs w:val="20"/>
        </w:rPr>
      </w:pPr>
    </w:p>
    <w:p w14:paraId="77B57FF8" w14:textId="357F63DC"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 xml:space="preserve">Il m’était par ailleurs impossible d’effectuer cette tâche (ces tâches) durant mes heures de travail normales pour les motifs suivants : </w:t>
      </w:r>
    </w:p>
    <w:p w14:paraId="08FB3D44"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ab/>
      </w:r>
    </w:p>
    <w:p w14:paraId="296A0A09"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ab/>
      </w:r>
    </w:p>
    <w:p w14:paraId="76AD2DD3"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p>
    <w:p w14:paraId="6CC3F993" w14:textId="77777777"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Certifié sincère et complet.</w:t>
      </w:r>
    </w:p>
    <w:p w14:paraId="354A7B68" w14:textId="0A1E91EB" w:rsidR="00C12FAC" w:rsidRPr="001520F6" w:rsidRDefault="00C12FAC" w:rsidP="00997405">
      <w:pPr>
        <w:tabs>
          <w:tab w:val="right" w:leader="dot" w:pos="9639"/>
        </w:tabs>
        <w:spacing w:before="120" w:line="276" w:lineRule="auto"/>
        <w:jc w:val="both"/>
        <w:rPr>
          <w:rFonts w:ascii="Arial" w:hAnsi="Arial" w:cs="Arial"/>
          <w:color w:val="0D0D0D" w:themeColor="text1" w:themeTint="F2"/>
          <w:sz w:val="20"/>
          <w:szCs w:val="20"/>
        </w:rPr>
      </w:pPr>
      <w:r w:rsidRPr="001520F6">
        <w:rPr>
          <w:rFonts w:ascii="Arial" w:hAnsi="Arial" w:cs="Arial"/>
          <w:color w:val="0D0D0D" w:themeColor="text1" w:themeTint="F2"/>
          <w:sz w:val="20"/>
          <w:szCs w:val="20"/>
        </w:rPr>
        <w:t>Fait à ……………………………………, le ………………………………</w:t>
      </w:r>
      <w:proofErr w:type="gramStart"/>
      <w:r w:rsidRPr="001520F6">
        <w:rPr>
          <w:rFonts w:ascii="Arial" w:hAnsi="Arial" w:cs="Arial"/>
          <w:color w:val="0D0D0D" w:themeColor="text1" w:themeTint="F2"/>
          <w:sz w:val="20"/>
          <w:szCs w:val="20"/>
        </w:rPr>
        <w:t>…….</w:t>
      </w:r>
      <w:proofErr w:type="gramEnd"/>
      <w:r w:rsidR="00261615" w:rsidRPr="001520F6">
        <w:rPr>
          <w:rFonts w:ascii="Arial" w:hAnsi="Arial" w:cs="Arial"/>
          <w:color w:val="0D0D0D" w:themeColor="text1" w:themeTint="F2"/>
          <w:sz w:val="20"/>
          <w:szCs w:val="20"/>
        </w:rPr>
        <w:t>…..</w:t>
      </w:r>
      <w:r w:rsidRPr="001520F6">
        <w:rPr>
          <w:rFonts w:ascii="Arial" w:hAnsi="Arial" w:cs="Arial"/>
          <w:color w:val="0D0D0D" w:themeColor="text1" w:themeTint="F2"/>
          <w:sz w:val="20"/>
          <w:szCs w:val="20"/>
        </w:rPr>
        <w:t>.</w:t>
      </w:r>
    </w:p>
    <w:p w14:paraId="056D1A21" w14:textId="77777777" w:rsidR="00C12FAC" w:rsidRPr="001520F6" w:rsidRDefault="00C12FAC" w:rsidP="001243B6">
      <w:pPr>
        <w:tabs>
          <w:tab w:val="right" w:leader="dot" w:pos="9639"/>
        </w:tabs>
        <w:spacing w:before="120" w:line="300" w:lineRule="exact"/>
        <w:jc w:val="both"/>
        <w:rPr>
          <w:rFonts w:ascii="Arial" w:hAnsi="Arial" w:cs="Arial"/>
          <w:color w:val="0D0D0D" w:themeColor="text1" w:themeTint="F2"/>
          <w:sz w:val="20"/>
          <w:szCs w:val="20"/>
        </w:rPr>
      </w:pPr>
    </w:p>
    <w:p w14:paraId="45901331" w14:textId="77777777" w:rsidR="00C12FAC" w:rsidRPr="001520F6" w:rsidRDefault="00C12FAC" w:rsidP="001243B6">
      <w:pPr>
        <w:jc w:val="both"/>
        <w:rPr>
          <w:rFonts w:ascii="Arial" w:hAnsi="Arial" w:cs="Arial"/>
          <w:color w:val="0D0D0D" w:themeColor="text1" w:themeTint="F2"/>
          <w:sz w:val="20"/>
          <w:szCs w:val="20"/>
        </w:rPr>
      </w:pPr>
    </w:p>
    <w:p w14:paraId="49CF4B86" w14:textId="77777777" w:rsidR="00F30541" w:rsidRPr="00F30541" w:rsidRDefault="00F30541" w:rsidP="00F30541">
      <w:pPr>
        <w:jc w:val="both"/>
        <w:rPr>
          <w:rFonts w:ascii="Arial" w:hAnsi="Arial" w:cs="Arial"/>
          <w:b/>
          <w:bCs/>
          <w:color w:val="0D0D0D" w:themeColor="text1" w:themeTint="F2"/>
          <w:sz w:val="20"/>
          <w:szCs w:val="20"/>
        </w:rPr>
      </w:pPr>
      <w:r w:rsidRPr="00F30541">
        <w:rPr>
          <w:rFonts w:ascii="Arial" w:hAnsi="Arial" w:cs="Arial"/>
          <w:bCs/>
          <w:color w:val="0D0D0D" w:themeColor="text1" w:themeTint="F2"/>
          <w:sz w:val="20"/>
          <w:szCs w:val="20"/>
        </w:rPr>
        <w:t>Le Président,</w:t>
      </w:r>
      <w:r w:rsidRPr="00F30541">
        <w:rPr>
          <w:rFonts w:ascii="Arial" w:hAnsi="Arial" w:cs="Arial"/>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
          <w:bCs/>
          <w:color w:val="0D0D0D" w:themeColor="text1" w:themeTint="F2"/>
          <w:sz w:val="20"/>
          <w:szCs w:val="20"/>
        </w:rPr>
        <w:tab/>
      </w:r>
      <w:r w:rsidRPr="00F30541">
        <w:rPr>
          <w:rFonts w:ascii="Arial" w:hAnsi="Arial" w:cs="Arial"/>
          <w:bCs/>
          <w:color w:val="0D0D0D" w:themeColor="text1" w:themeTint="F2"/>
          <w:sz w:val="20"/>
          <w:szCs w:val="20"/>
        </w:rPr>
        <w:t>Le déclarant,</w:t>
      </w:r>
    </w:p>
    <w:p w14:paraId="30913038" w14:textId="77777777" w:rsidR="00F30541" w:rsidRPr="00F30541" w:rsidRDefault="00F30541" w:rsidP="00F30541">
      <w:pPr>
        <w:jc w:val="both"/>
        <w:rPr>
          <w:rFonts w:ascii="Arial" w:hAnsi="Arial" w:cs="Arial"/>
          <w:b/>
          <w:bCs/>
          <w:color w:val="0D0D0D" w:themeColor="text1" w:themeTint="F2"/>
          <w:sz w:val="20"/>
          <w:szCs w:val="20"/>
        </w:rPr>
      </w:pPr>
      <w:r w:rsidRPr="00F30541">
        <w:rPr>
          <w:rFonts w:ascii="Arial" w:hAnsi="Arial" w:cs="Arial"/>
          <w:bCs/>
          <w:i/>
          <w:color w:val="0D0D0D" w:themeColor="text1" w:themeTint="F2"/>
          <w:sz w:val="20"/>
          <w:szCs w:val="20"/>
        </w:rPr>
        <w:t xml:space="preserve">(Signature) </w:t>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r>
      <w:r w:rsidRPr="00F30541">
        <w:rPr>
          <w:rFonts w:ascii="Arial" w:hAnsi="Arial" w:cs="Arial"/>
          <w:bCs/>
          <w:i/>
          <w:color w:val="0D0D0D" w:themeColor="text1" w:themeTint="F2"/>
          <w:sz w:val="20"/>
          <w:szCs w:val="20"/>
        </w:rPr>
        <w:tab/>
        <w:t>(Signature)</w:t>
      </w:r>
    </w:p>
    <w:p w14:paraId="218D059F" w14:textId="495AA31B" w:rsidR="001243B6" w:rsidRDefault="001243B6" w:rsidP="001243B6">
      <w:pPr>
        <w:jc w:val="both"/>
        <w:rPr>
          <w:rFonts w:ascii="Arial" w:hAnsi="Arial" w:cs="Arial"/>
          <w:i/>
          <w:color w:val="0D0D0D" w:themeColor="text1" w:themeTint="F2"/>
          <w:sz w:val="20"/>
          <w:szCs w:val="20"/>
        </w:rPr>
      </w:pPr>
    </w:p>
    <w:p w14:paraId="3530202C" w14:textId="32CEA052" w:rsidR="00F30541" w:rsidRDefault="00F30541" w:rsidP="001243B6">
      <w:pPr>
        <w:jc w:val="both"/>
        <w:rPr>
          <w:rFonts w:ascii="Arial" w:hAnsi="Arial" w:cs="Arial"/>
          <w:i/>
          <w:color w:val="0D0D0D" w:themeColor="text1" w:themeTint="F2"/>
          <w:sz w:val="20"/>
          <w:szCs w:val="20"/>
        </w:rPr>
      </w:pPr>
    </w:p>
    <w:p w14:paraId="3BE933BE" w14:textId="25027008" w:rsidR="00F30541" w:rsidRDefault="00F30541" w:rsidP="001243B6">
      <w:pPr>
        <w:jc w:val="both"/>
        <w:rPr>
          <w:rFonts w:ascii="Arial" w:hAnsi="Arial" w:cs="Arial"/>
          <w:i/>
          <w:color w:val="0D0D0D" w:themeColor="text1" w:themeTint="F2"/>
          <w:sz w:val="20"/>
          <w:szCs w:val="20"/>
        </w:rPr>
      </w:pPr>
    </w:p>
    <w:p w14:paraId="69909FAC" w14:textId="3397FFEC" w:rsidR="00F30541" w:rsidRDefault="00F30541" w:rsidP="001243B6">
      <w:pPr>
        <w:jc w:val="both"/>
        <w:rPr>
          <w:rFonts w:ascii="Arial" w:hAnsi="Arial" w:cs="Arial"/>
          <w:i/>
          <w:color w:val="0D0D0D" w:themeColor="text1" w:themeTint="F2"/>
          <w:sz w:val="20"/>
          <w:szCs w:val="20"/>
        </w:rPr>
      </w:pPr>
    </w:p>
    <w:p w14:paraId="6941D567" w14:textId="27BC9BA5" w:rsidR="00F30541" w:rsidRDefault="00F30541" w:rsidP="001243B6">
      <w:pPr>
        <w:jc w:val="both"/>
        <w:rPr>
          <w:rFonts w:ascii="Arial" w:hAnsi="Arial" w:cs="Arial"/>
          <w:i/>
          <w:color w:val="0D0D0D" w:themeColor="text1" w:themeTint="F2"/>
          <w:sz w:val="20"/>
          <w:szCs w:val="20"/>
        </w:rPr>
      </w:pPr>
    </w:p>
    <w:p w14:paraId="30C9F870" w14:textId="44FF6B90" w:rsidR="001243B6" w:rsidRPr="001520F6" w:rsidRDefault="001243B6" w:rsidP="001243B6">
      <w:pPr>
        <w:rPr>
          <w:rFonts w:ascii="Arial" w:hAnsi="Arial" w:cs="Arial"/>
          <w:bCs/>
          <w:color w:val="0D0D0D" w:themeColor="text1" w:themeTint="F2"/>
          <w:sz w:val="20"/>
          <w:szCs w:val="20"/>
        </w:rPr>
      </w:pPr>
    </w:p>
    <w:p w14:paraId="169D61FE" w14:textId="77777777" w:rsidR="001243B6" w:rsidRPr="001520F6" w:rsidRDefault="001243B6" w:rsidP="001243B6">
      <w:pPr>
        <w:jc w:val="both"/>
        <w:rPr>
          <w:rFonts w:ascii="Arial" w:hAnsi="Arial" w:cs="Arial"/>
          <w:b/>
          <w:color w:val="0D0D0D" w:themeColor="text1" w:themeTint="F2"/>
          <w:sz w:val="20"/>
          <w:szCs w:val="20"/>
        </w:rPr>
      </w:pPr>
    </w:p>
    <w:sectPr w:rsidR="001243B6" w:rsidRPr="001520F6" w:rsidSect="00F44548">
      <w:headerReference w:type="default"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B88" w14:textId="77777777" w:rsidR="00013398" w:rsidRDefault="00013398" w:rsidP="00C37432">
      <w:r>
        <w:separator/>
      </w:r>
    </w:p>
  </w:endnote>
  <w:endnote w:type="continuationSeparator" w:id="0">
    <w:p w14:paraId="62FB7C5C" w14:textId="77777777" w:rsidR="00013398" w:rsidRDefault="00013398"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6570"/>
      <w:docPartObj>
        <w:docPartGallery w:val="Page Numbers (Bottom of Page)"/>
        <w:docPartUnique/>
      </w:docPartObj>
    </w:sdtPr>
    <w:sdtEndPr/>
    <w:sdtContent>
      <w:sdt>
        <w:sdtPr>
          <w:id w:val="-1769616900"/>
          <w:docPartObj>
            <w:docPartGallery w:val="Page Numbers (Top of Page)"/>
            <w:docPartUnique/>
          </w:docPartObj>
        </w:sdtPr>
        <w:sdtEndPr/>
        <w:sdtContent>
          <w:p w14:paraId="5E75348F" w14:textId="7EFDA3A9" w:rsidR="001243B6" w:rsidRDefault="007D62A3">
            <w:pPr>
              <w:pStyle w:val="Pieddepage"/>
              <w:jc w:val="right"/>
            </w:pPr>
            <w:r>
              <w:rPr>
                <w:noProof/>
              </w:rPr>
              <w:drawing>
                <wp:anchor distT="0" distB="0" distL="114300" distR="114300" simplePos="0" relativeHeight="251658240" behindDoc="1" locked="0" layoutInCell="1" allowOverlap="1" wp14:anchorId="675F6281" wp14:editId="3C994368">
                  <wp:simplePos x="0" y="0"/>
                  <wp:positionH relativeFrom="column">
                    <wp:posOffset>-427355</wp:posOffset>
                  </wp:positionH>
                  <wp:positionV relativeFrom="paragraph">
                    <wp:posOffset>-351155</wp:posOffset>
                  </wp:positionV>
                  <wp:extent cx="1362075" cy="819150"/>
                  <wp:effectExtent l="0" t="0" r="0" b="0"/>
                  <wp:wrapTight wrapText="bothSides">
                    <wp:wrapPolygon edited="0">
                      <wp:start x="0" y="0"/>
                      <wp:lineTo x="0" y="21098"/>
                      <wp:lineTo x="21449" y="21098"/>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1243B6">
              <w:t xml:space="preserve">Page </w:t>
            </w:r>
            <w:r w:rsidR="001243B6">
              <w:rPr>
                <w:b/>
                <w:bCs/>
                <w:sz w:val="24"/>
                <w:szCs w:val="24"/>
              </w:rPr>
              <w:fldChar w:fldCharType="begin"/>
            </w:r>
            <w:r w:rsidR="001243B6">
              <w:rPr>
                <w:b/>
                <w:bCs/>
              </w:rPr>
              <w:instrText>PAGE</w:instrText>
            </w:r>
            <w:r w:rsidR="001243B6">
              <w:rPr>
                <w:b/>
                <w:bCs/>
                <w:sz w:val="24"/>
                <w:szCs w:val="24"/>
              </w:rPr>
              <w:fldChar w:fldCharType="separate"/>
            </w:r>
            <w:r w:rsidR="001243B6">
              <w:rPr>
                <w:b/>
                <w:bCs/>
              </w:rPr>
              <w:t>2</w:t>
            </w:r>
            <w:r w:rsidR="001243B6">
              <w:rPr>
                <w:b/>
                <w:bCs/>
                <w:sz w:val="24"/>
                <w:szCs w:val="24"/>
              </w:rPr>
              <w:fldChar w:fldCharType="end"/>
            </w:r>
            <w:r w:rsidR="001243B6">
              <w:t xml:space="preserve"> sur </w:t>
            </w:r>
            <w:r w:rsidR="001243B6">
              <w:rPr>
                <w:b/>
                <w:bCs/>
                <w:sz w:val="24"/>
                <w:szCs w:val="24"/>
              </w:rPr>
              <w:fldChar w:fldCharType="begin"/>
            </w:r>
            <w:r w:rsidR="001243B6">
              <w:rPr>
                <w:b/>
                <w:bCs/>
              </w:rPr>
              <w:instrText>NUMPAGES</w:instrText>
            </w:r>
            <w:r w:rsidR="001243B6">
              <w:rPr>
                <w:b/>
                <w:bCs/>
                <w:sz w:val="24"/>
                <w:szCs w:val="24"/>
              </w:rPr>
              <w:fldChar w:fldCharType="separate"/>
            </w:r>
            <w:r w:rsidR="001243B6">
              <w:rPr>
                <w:b/>
                <w:bCs/>
              </w:rPr>
              <w:t>2</w:t>
            </w:r>
            <w:r w:rsidR="001243B6">
              <w:rPr>
                <w:b/>
                <w:bCs/>
                <w:sz w:val="24"/>
                <w:szCs w:val="24"/>
              </w:rPr>
              <w:fldChar w:fldCharType="end"/>
            </w:r>
          </w:p>
        </w:sdtContent>
      </w:sdt>
    </w:sdtContent>
  </w:sdt>
  <w:p w14:paraId="59102242" w14:textId="7832658D" w:rsidR="006E2F91" w:rsidRDefault="006E2F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568C" w14:textId="77777777" w:rsidR="00013398" w:rsidRDefault="00013398" w:rsidP="00C37432">
      <w:r>
        <w:separator/>
      </w:r>
    </w:p>
  </w:footnote>
  <w:footnote w:type="continuationSeparator" w:id="0">
    <w:p w14:paraId="017F2547" w14:textId="77777777" w:rsidR="00013398" w:rsidRDefault="00013398" w:rsidP="00C37432">
      <w:r>
        <w:continuationSeparator/>
      </w:r>
    </w:p>
  </w:footnote>
  <w:footnote w:id="1">
    <w:p w14:paraId="2632C7F6" w14:textId="77777777" w:rsidR="007D62A3" w:rsidRPr="00B26709" w:rsidRDefault="007D62A3" w:rsidP="007D62A3">
      <w:pPr>
        <w:jc w:val="both"/>
        <w:rPr>
          <w:rFonts w:ascii="Arial" w:hAnsi="Arial" w:cs="Arial"/>
          <w:color w:val="0D0D0D" w:themeColor="text1" w:themeTint="F2"/>
          <w:sz w:val="16"/>
          <w:szCs w:val="16"/>
        </w:rPr>
      </w:pPr>
      <w:r w:rsidRPr="00B26709">
        <w:rPr>
          <w:rStyle w:val="Appelnotedebasdep"/>
          <w:rFonts w:ascii="Arial" w:hAnsi="Arial" w:cs="Arial"/>
          <w:color w:val="0D0D0D" w:themeColor="text1" w:themeTint="F2"/>
          <w:sz w:val="16"/>
          <w:szCs w:val="16"/>
        </w:rPr>
        <w:footnoteRef/>
      </w:r>
      <w:r w:rsidRPr="00B26709">
        <w:rPr>
          <w:rFonts w:ascii="Arial" w:hAnsi="Arial" w:cs="Arial"/>
          <w:color w:val="0D0D0D" w:themeColor="text1" w:themeTint="F2"/>
          <w:sz w:val="16"/>
          <w:szCs w:val="16"/>
        </w:rPr>
        <w:t xml:space="preserve"> Référence légale – Article 16 de l’Arrêté du d’arrêté du Gouvernement wallon du … fixant les modalités de certaines opérations électorales et portant délégation de compétences au </w:t>
      </w:r>
      <w:proofErr w:type="gramStart"/>
      <w:r w:rsidRPr="00B26709">
        <w:rPr>
          <w:rFonts w:ascii="Arial" w:hAnsi="Arial" w:cs="Arial"/>
          <w:color w:val="0D0D0D" w:themeColor="text1" w:themeTint="F2"/>
          <w:sz w:val="16"/>
          <w:szCs w:val="16"/>
        </w:rPr>
        <w:t>Ministre</w:t>
      </w:r>
      <w:proofErr w:type="gramEnd"/>
      <w:r w:rsidRPr="00B26709">
        <w:rPr>
          <w:rFonts w:ascii="Arial" w:hAnsi="Arial" w:cs="Arial"/>
          <w:color w:val="0D0D0D" w:themeColor="text1" w:themeTint="F2"/>
          <w:sz w:val="16"/>
          <w:szCs w:val="16"/>
        </w:rPr>
        <w:t xml:space="preserve"> des Pouvoirs locaux en matière d’organisation des élections locales Art.16. § 1</w:t>
      </w:r>
      <w:r w:rsidRPr="00B26709">
        <w:rPr>
          <w:rFonts w:ascii="Arial" w:hAnsi="Arial" w:cs="Arial"/>
          <w:color w:val="0D0D0D" w:themeColor="text1" w:themeTint="F2"/>
          <w:sz w:val="16"/>
          <w:szCs w:val="16"/>
          <w:vertAlign w:val="superscript"/>
        </w:rPr>
        <w:t>er</w:t>
      </w:r>
      <w:r w:rsidRPr="00B26709">
        <w:rPr>
          <w:rFonts w:ascii="Arial" w:hAnsi="Arial" w:cs="Arial"/>
          <w:color w:val="0D0D0D" w:themeColor="text1" w:themeTint="F2"/>
          <w:sz w:val="16"/>
          <w:szCs w:val="16"/>
        </w:rPr>
        <w:t>. En dehors des séances énumérées à l'article 15, les membres des bureaux de circonscription et de canton peuvent avoir à accomplir des tâches qui sont nécessaires afin de garantir le bon déroulement des élections. Ces tâches donnent droit à une indemnité et concernent :</w:t>
      </w:r>
    </w:p>
    <w:p w14:paraId="052DE91C"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1° l'envoi des courriers, relevés et tableaux exigés par le Code, y compris l'expédition des procès-verbaux ; </w:t>
      </w:r>
    </w:p>
    <w:p w14:paraId="4D548840"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2° la procédure de désignation des membres des bureaux ; </w:t>
      </w:r>
    </w:p>
    <w:p w14:paraId="3EFBD81E"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3° les démarches accomplies en vue de procéder aux investigations quant à l'éligibilité des candidats ; </w:t>
      </w:r>
    </w:p>
    <w:p w14:paraId="5E9EBAB5"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4° l'encodage numérique des listes et leur transmission ; </w:t>
      </w:r>
    </w:p>
    <w:p w14:paraId="0A6D9A5B"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5° les corrections qui suivent la vérification par le Gouvernement des doubles candidatures ; </w:t>
      </w:r>
    </w:p>
    <w:p w14:paraId="29C75E6A"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6° la rédaction et l'envoi du rapport d'impression dans les bureaux de circonscription ; </w:t>
      </w:r>
    </w:p>
    <w:p w14:paraId="607DDBAD"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7° la communication de la liste officielle des candidats à ceux-ci et aux déposants qui le demandent ; </w:t>
      </w:r>
    </w:p>
    <w:p w14:paraId="57616D83"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8° l'organisation par le président du bureau de circonscription de la livraison des bulletins de vote ; </w:t>
      </w:r>
    </w:p>
    <w:p w14:paraId="4FB3297C"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9° la communication des extraits du procès-verbal de recensement aux élus.</w:t>
      </w:r>
    </w:p>
    <w:p w14:paraId="274B4D4B"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 2. Les tâches décrites au paragraphe 1</w:t>
      </w:r>
      <w:r w:rsidRPr="00B26709">
        <w:rPr>
          <w:rFonts w:ascii="Arial" w:hAnsi="Arial" w:cs="Arial"/>
          <w:color w:val="0D0D0D" w:themeColor="text1" w:themeTint="F2"/>
          <w:sz w:val="16"/>
          <w:szCs w:val="16"/>
          <w:vertAlign w:val="superscript"/>
        </w:rPr>
        <w:t>er</w:t>
      </w:r>
      <w:r w:rsidRPr="00B26709">
        <w:rPr>
          <w:rFonts w:ascii="Arial" w:hAnsi="Arial" w:cs="Arial"/>
          <w:color w:val="0D0D0D" w:themeColor="text1" w:themeTint="F2"/>
          <w:sz w:val="16"/>
          <w:szCs w:val="16"/>
        </w:rPr>
        <w:t xml:space="preserve"> ne peuvent faire l'objet d'une indemnisation que pour autant qu'elles se situent en dehors des heures de travail normales des membres des bureaux concernés dans l'exercice de leur profession. L’indemnité est fixée par référence au barème des Greffiers en chef.</w:t>
      </w:r>
    </w:p>
    <w:p w14:paraId="0EE10885"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 3. La déclaration de créance se rapportant aux tâches effectuées conformément au paragraphe 1</w:t>
      </w:r>
      <w:r w:rsidRPr="00B26709">
        <w:rPr>
          <w:rFonts w:ascii="Arial" w:hAnsi="Arial" w:cs="Arial"/>
          <w:color w:val="0D0D0D" w:themeColor="text1" w:themeTint="F2"/>
          <w:sz w:val="16"/>
          <w:szCs w:val="16"/>
          <w:vertAlign w:val="superscript"/>
        </w:rPr>
        <w:t>er</w:t>
      </w:r>
      <w:r w:rsidRPr="00B26709">
        <w:rPr>
          <w:rFonts w:ascii="Arial" w:hAnsi="Arial" w:cs="Arial"/>
          <w:color w:val="0D0D0D" w:themeColor="text1" w:themeTint="F2"/>
          <w:sz w:val="16"/>
          <w:szCs w:val="16"/>
        </w:rPr>
        <w:t xml:space="preserve"> est adressée à l'administration provinciale du ressort du bureau de circonscription ou de canton, accompagnée du relevé des heures prestées et des pièces justificatives éventuelles. Cette déclaration est établie conformément au modèle figurant à l’annexe 32.</w:t>
      </w:r>
    </w:p>
    <w:p w14:paraId="6A109AB9" w14:textId="77777777" w:rsidR="007D62A3" w:rsidRPr="00B26709" w:rsidRDefault="007D62A3" w:rsidP="007D62A3">
      <w:pPr>
        <w:jc w:val="both"/>
        <w:rPr>
          <w:rFonts w:ascii="Arial" w:hAnsi="Arial" w:cs="Arial"/>
          <w:color w:val="0D0D0D" w:themeColor="text1" w:themeTint="F2"/>
          <w:sz w:val="16"/>
          <w:szCs w:val="16"/>
        </w:rPr>
      </w:pPr>
      <w:r w:rsidRPr="00B26709">
        <w:rPr>
          <w:rFonts w:ascii="Arial" w:hAnsi="Arial" w:cs="Arial"/>
          <w:color w:val="0D0D0D" w:themeColor="text1" w:themeTint="F2"/>
          <w:sz w:val="16"/>
          <w:szCs w:val="16"/>
        </w:rPr>
        <w:t xml:space="preserve">  § 4. Toute autre demande d'indemnisation pour une tâche qui ne serait pas mentionnée expressément dans la liste reprise au paragraphe 1</w:t>
      </w:r>
      <w:r w:rsidRPr="00B26709">
        <w:rPr>
          <w:rFonts w:ascii="Arial" w:hAnsi="Arial" w:cs="Arial"/>
          <w:color w:val="0D0D0D" w:themeColor="text1" w:themeTint="F2"/>
          <w:sz w:val="16"/>
          <w:szCs w:val="16"/>
          <w:vertAlign w:val="superscript"/>
        </w:rPr>
        <w:t>er</w:t>
      </w:r>
      <w:r w:rsidRPr="00B26709">
        <w:rPr>
          <w:rFonts w:ascii="Arial" w:hAnsi="Arial" w:cs="Arial"/>
          <w:color w:val="0D0D0D" w:themeColor="text1" w:themeTint="F2"/>
          <w:sz w:val="16"/>
          <w:szCs w:val="16"/>
        </w:rPr>
        <w:t>, fait l'objet d'une déclaration de créance sur base du modèle figurant à l’annexe 33 justifiant de la nécessité de cette tâche dans la procédure électorale et de l'impossibilité de l'effectuer dans les heures de travail normales.</w:t>
      </w:r>
    </w:p>
    <w:p w14:paraId="1A0CA531" w14:textId="77777777" w:rsidR="007D62A3" w:rsidRPr="001520F6" w:rsidRDefault="007D62A3" w:rsidP="007D62A3">
      <w:pPr>
        <w:jc w:val="both"/>
        <w:rPr>
          <w:lang w:val="fr-BE"/>
        </w:rPr>
      </w:pPr>
      <w:r w:rsidRPr="00B26709">
        <w:rPr>
          <w:rFonts w:ascii="Arial" w:hAnsi="Arial" w:cs="Arial"/>
          <w:color w:val="0D0D0D" w:themeColor="text1" w:themeTint="F2"/>
          <w:sz w:val="16"/>
          <w:szCs w:val="16"/>
        </w:rPr>
        <w:t xml:space="preserve">  L'indemnisation de ces tâches est opérée sur base de cette déclaration de créance.</w:t>
      </w:r>
    </w:p>
  </w:footnote>
  <w:footnote w:id="2">
    <w:p w14:paraId="5164C45F" w14:textId="11B99556" w:rsidR="009F7884" w:rsidRPr="00997405" w:rsidRDefault="009F7884" w:rsidP="00B63AB4">
      <w:pPr>
        <w:pStyle w:val="Notedebasdepage"/>
        <w:rPr>
          <w:rFonts w:ascii="Arial" w:hAnsi="Arial" w:cs="Arial"/>
          <w:sz w:val="16"/>
          <w:szCs w:val="16"/>
          <w:lang w:val="fr-BE"/>
        </w:rPr>
      </w:pPr>
      <w:r w:rsidRPr="00997405">
        <w:rPr>
          <w:rStyle w:val="Appelnotedebasdep"/>
          <w:rFonts w:ascii="Arial" w:hAnsi="Arial" w:cs="Arial"/>
          <w:sz w:val="16"/>
          <w:szCs w:val="16"/>
        </w:rPr>
        <w:footnoteRef/>
      </w:r>
      <w:r w:rsidRPr="00997405">
        <w:rPr>
          <w:rFonts w:ascii="Arial" w:hAnsi="Arial" w:cs="Arial"/>
          <w:sz w:val="16"/>
          <w:szCs w:val="16"/>
        </w:rPr>
        <w:t xml:space="preserve"> Champs non-obligatoires</w:t>
      </w:r>
    </w:p>
  </w:footnote>
  <w:footnote w:id="3">
    <w:p w14:paraId="186204FD" w14:textId="15695985" w:rsidR="009F7884" w:rsidRPr="00997405" w:rsidRDefault="009F7884" w:rsidP="00B63AB4">
      <w:pPr>
        <w:pStyle w:val="Notedebasdepage"/>
        <w:rPr>
          <w:lang w:val="fr-BE"/>
        </w:rPr>
      </w:pPr>
      <w:r w:rsidRPr="00997405">
        <w:rPr>
          <w:rStyle w:val="Appelnotedebasdep"/>
          <w:rFonts w:ascii="Arial" w:hAnsi="Arial" w:cs="Arial"/>
          <w:sz w:val="16"/>
          <w:szCs w:val="16"/>
        </w:rPr>
        <w:footnoteRef/>
      </w:r>
      <w:r w:rsidRPr="00997405">
        <w:rPr>
          <w:rFonts w:ascii="Arial" w:hAnsi="Arial" w:cs="Arial"/>
          <w:sz w:val="16"/>
          <w:szCs w:val="16"/>
        </w:rPr>
        <w:t xml:space="preserve"> Champs non obligatoires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BC90" w14:textId="0EF1E535" w:rsidR="007D62A3" w:rsidRDefault="007D62A3">
    <w:pPr>
      <w:pStyle w:val="En-tte"/>
    </w:pPr>
    <w:r>
      <w:rPr>
        <w:noProof/>
      </w:rPr>
      <w:drawing>
        <wp:anchor distT="0" distB="0" distL="114300" distR="114300" simplePos="0" relativeHeight="251659264" behindDoc="0" locked="0" layoutInCell="1" allowOverlap="1" wp14:anchorId="30DC4203" wp14:editId="3B285ADD">
          <wp:simplePos x="0" y="0"/>
          <wp:positionH relativeFrom="column">
            <wp:posOffset>5455920</wp:posOffset>
          </wp:positionH>
          <wp:positionV relativeFrom="paragraph">
            <wp:posOffset>-335915</wp:posOffset>
          </wp:positionV>
          <wp:extent cx="1067435" cy="609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4E16"/>
    <w:multiLevelType w:val="hybridMultilevel"/>
    <w:tmpl w:val="AB7064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84A5C5D"/>
    <w:multiLevelType w:val="hybridMultilevel"/>
    <w:tmpl w:val="25AEE4E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CE31988"/>
    <w:multiLevelType w:val="hybridMultilevel"/>
    <w:tmpl w:val="53F8B03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FF1D5D"/>
    <w:multiLevelType w:val="hybridMultilevel"/>
    <w:tmpl w:val="4380F25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17673017">
    <w:abstractNumId w:val="6"/>
  </w:num>
  <w:num w:numId="2" w16cid:durableId="2029519886">
    <w:abstractNumId w:val="4"/>
  </w:num>
  <w:num w:numId="3" w16cid:durableId="1688409065">
    <w:abstractNumId w:val="7"/>
  </w:num>
  <w:num w:numId="4" w16cid:durableId="2042709630">
    <w:abstractNumId w:val="3"/>
  </w:num>
  <w:num w:numId="5" w16cid:durableId="1726561691">
    <w:abstractNumId w:val="1"/>
  </w:num>
  <w:num w:numId="6" w16cid:durableId="1484812323">
    <w:abstractNumId w:val="5"/>
  </w:num>
  <w:num w:numId="7" w16cid:durableId="822426091">
    <w:abstractNumId w:val="0"/>
  </w:num>
  <w:num w:numId="8" w16cid:durableId="107239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3398"/>
    <w:rsid w:val="00017012"/>
    <w:rsid w:val="0002635B"/>
    <w:rsid w:val="00075E49"/>
    <w:rsid w:val="00085598"/>
    <w:rsid w:val="000C517A"/>
    <w:rsid w:val="000E7607"/>
    <w:rsid w:val="001243B6"/>
    <w:rsid w:val="001520F6"/>
    <w:rsid w:val="00161F14"/>
    <w:rsid w:val="00177617"/>
    <w:rsid w:val="00194057"/>
    <w:rsid w:val="001D24EA"/>
    <w:rsid w:val="001D42EB"/>
    <w:rsid w:val="001D5975"/>
    <w:rsid w:val="00261615"/>
    <w:rsid w:val="00264AB5"/>
    <w:rsid w:val="002B3E4E"/>
    <w:rsid w:val="00335A64"/>
    <w:rsid w:val="00442978"/>
    <w:rsid w:val="004B0C25"/>
    <w:rsid w:val="004C17E5"/>
    <w:rsid w:val="004F0322"/>
    <w:rsid w:val="00565DA6"/>
    <w:rsid w:val="005C48BA"/>
    <w:rsid w:val="0061746D"/>
    <w:rsid w:val="006460FB"/>
    <w:rsid w:val="006E2F91"/>
    <w:rsid w:val="00773015"/>
    <w:rsid w:val="007D62A3"/>
    <w:rsid w:val="007E3AD9"/>
    <w:rsid w:val="0080190D"/>
    <w:rsid w:val="008733D7"/>
    <w:rsid w:val="008E44FC"/>
    <w:rsid w:val="008E6DF3"/>
    <w:rsid w:val="00990083"/>
    <w:rsid w:val="00997405"/>
    <w:rsid w:val="009D7EE7"/>
    <w:rsid w:val="009F7884"/>
    <w:rsid w:val="00A76783"/>
    <w:rsid w:val="00AC646F"/>
    <w:rsid w:val="00B26709"/>
    <w:rsid w:val="00B518FA"/>
    <w:rsid w:val="00B63AB4"/>
    <w:rsid w:val="00BA1965"/>
    <w:rsid w:val="00C1094B"/>
    <w:rsid w:val="00C12FAC"/>
    <w:rsid w:val="00C168C5"/>
    <w:rsid w:val="00C37432"/>
    <w:rsid w:val="00C60D9C"/>
    <w:rsid w:val="00C90C4A"/>
    <w:rsid w:val="00C9585F"/>
    <w:rsid w:val="00CA4A8B"/>
    <w:rsid w:val="00D1296D"/>
    <w:rsid w:val="00DC16B0"/>
    <w:rsid w:val="00E50818"/>
    <w:rsid w:val="00E50B54"/>
    <w:rsid w:val="00EA09AE"/>
    <w:rsid w:val="00F30541"/>
    <w:rsid w:val="00F44548"/>
    <w:rsid w:val="00F453D1"/>
    <w:rsid w:val="00F5396C"/>
    <w:rsid w:val="00FC71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82121"/>
  <w15:docId w15:val="{6233529C-0818-4E2C-AC77-4DCFFB34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BA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1094B"/>
    <w:rPr>
      <w:sz w:val="20"/>
      <w:szCs w:val="20"/>
    </w:rPr>
  </w:style>
  <w:style w:type="character" w:customStyle="1" w:styleId="NotedebasdepageCar">
    <w:name w:val="Note de bas de page Car"/>
    <w:basedOn w:val="Policepardfaut"/>
    <w:link w:val="Notedebasdepage"/>
    <w:uiPriority w:val="99"/>
    <w:semiHidden/>
    <w:rsid w:val="00C1094B"/>
    <w:rPr>
      <w:sz w:val="20"/>
      <w:szCs w:val="20"/>
      <w:lang w:val="fr-FR"/>
    </w:rPr>
  </w:style>
  <w:style w:type="character" w:styleId="Appelnotedebasdep">
    <w:name w:val="footnote reference"/>
    <w:basedOn w:val="Policepardfaut"/>
    <w:uiPriority w:val="99"/>
    <w:semiHidden/>
    <w:unhideWhenUsed/>
    <w:rsid w:val="00C1094B"/>
    <w:rPr>
      <w:vertAlign w:val="superscript"/>
    </w:rPr>
  </w:style>
  <w:style w:type="paragraph" w:styleId="NormalWeb">
    <w:name w:val="Normal (Web)"/>
    <w:basedOn w:val="Normal"/>
    <w:uiPriority w:val="99"/>
    <w:semiHidden/>
    <w:unhideWhenUsed/>
    <w:rsid w:val="007E3AD9"/>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A7678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0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992EF-6931-4422-B90C-710EC455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2024-04-17T07:01:00Z</dcterms:created>
  <dcterms:modified xsi:type="dcterms:W3CDTF">2024-05-17T07:27:00Z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2023-07-18T07:25:18Z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cb3022af-539f-419d-8bdb-fe56484d93d4</vt:lpwstr>
  </property>
  <property fmtid="{D5CDD505-2E9C-101B-9397-08002B2CF9AE}" pid="8" name="MSIP_Label_97a477d1-147d-4e34-b5e3-7b26d2f44870_ContentBits">
    <vt:lpwstr>0</vt:lpwstr>
  </property>
</Properties>
</file>